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F4E12D" w14:textId="77777777" w:rsidR="00F1512B" w:rsidRDefault="00EA7193">
      <w:pPr>
        <w:pStyle w:val="BodyText"/>
        <w:rPr>
          <w:rFonts w:ascii="Times New Roman"/>
        </w:rPr>
      </w:pPr>
      <w:r>
        <w:pict w14:anchorId="04F4E1EC">
          <v:group id="_x0000_s1035" style="position:absolute;margin-left:-.5pt;margin-top:35.8pt;width:595.6pt;height:567.95pt;z-index:-15860736;mso-position-horizontal-relative:page;mso-position-vertical-relative:page" coordorigin="-10,716" coordsize="11912,11359">
            <v:shape id="_x0000_s1042" style="position:absolute;top:3316;width:9396;height:6273" coordorigin=",3316" coordsize="9396,6273" path="m,9589r5527,l9396,3316,,3316e" filled="f" strokecolor="#8dc53e" strokeweight="1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1" type="#_x0000_t75" style="position:absolute;left:5242;top:5292;width:6660;height:6280">
              <v:imagedata r:id="rId8" o:title=""/>
            </v:shape>
            <v:shape id="_x0000_s1040" style="position:absolute;left:1204;top:11026;width:3651;height:396" coordorigin="1204,11026" coordsize="3651,396" path="m4855,11026r-3402,l1204,11422r3401,l4855,11026xe" fillcolor="#004674" stroked="f">
              <v:path arrowok="t"/>
            </v:shape>
            <v:shape id="_x0000_s1039" style="position:absolute;left:2108;top:716;width:7959;height:11359" coordorigin="2109,716" coordsize="7959,11359" o:spt="100" adj="0,,0" path="m2696,1661l2109,716r,601l2509,1962r187,-301xm9759,4506r-283,l4778,12075r279,l9759,4506xm10068,2551r-283,l4855,10502r283,l10068,2551xe" fillcolor="#8dc53e" stroked="f">
              <v:stroke joinstyle="round"/>
              <v:formulas/>
              <v:path arrowok="t" o:connecttype="segments"/>
            </v:shape>
            <v:shape id="_x0000_s1038" style="position:absolute;left:2109;top:1661;width:587;height:1546" coordorigin="2109,1661" coordsize="587,1546" path="m2696,1661r-587,945l2109,3207r587,-945l2696,1661xe" fillcolor="#6c6d70" stroked="f">
              <v:path arrowok="t"/>
            </v:shape>
            <v:shape id="_x0000_s1037" style="position:absolute;left:2720;top:716;width:587;height:1246" coordorigin="2720,716" coordsize="587,1246" path="m2720,716r,601l3120,1962r187,-301l2720,716xe" fillcolor="#8dc53e" stroked="f">
              <v:path arrowok="t"/>
            </v:shape>
            <v:shape id="_x0000_s1036" style="position:absolute;left:2720;top:1661;width:587;height:1546" coordorigin="2720,1661" coordsize="587,1546" path="m3307,1661r-587,945l2720,3207r587,-945l3307,1661xe" fillcolor="#6c6d70" stroked="f">
              <v:path arrowok="t"/>
            </v:shape>
            <w10:wrap anchorx="page" anchory="page"/>
          </v:group>
        </w:pict>
      </w:r>
    </w:p>
    <w:p w14:paraId="04F4E12E" w14:textId="77777777" w:rsidR="00F1512B" w:rsidRDefault="00F1512B">
      <w:pPr>
        <w:pStyle w:val="BodyText"/>
        <w:rPr>
          <w:rFonts w:ascii="Times New Roman"/>
        </w:rPr>
      </w:pPr>
    </w:p>
    <w:p w14:paraId="04F4E12F" w14:textId="77777777" w:rsidR="00F1512B" w:rsidRDefault="00F1512B">
      <w:pPr>
        <w:pStyle w:val="BodyText"/>
        <w:rPr>
          <w:rFonts w:ascii="Times New Roman"/>
        </w:rPr>
      </w:pPr>
    </w:p>
    <w:p w14:paraId="04F4E130" w14:textId="77777777" w:rsidR="00F1512B" w:rsidRDefault="00F1512B">
      <w:pPr>
        <w:pStyle w:val="BodyText"/>
        <w:rPr>
          <w:rFonts w:ascii="Times New Roman"/>
        </w:rPr>
      </w:pPr>
    </w:p>
    <w:p w14:paraId="04F4E131" w14:textId="77777777" w:rsidR="00F1512B" w:rsidRDefault="00F1512B">
      <w:pPr>
        <w:pStyle w:val="BodyText"/>
        <w:rPr>
          <w:rFonts w:ascii="Times New Roman"/>
        </w:rPr>
      </w:pPr>
    </w:p>
    <w:p w14:paraId="04F4E132" w14:textId="77777777" w:rsidR="00F1512B" w:rsidRDefault="00F1512B">
      <w:pPr>
        <w:pStyle w:val="BodyText"/>
        <w:rPr>
          <w:rFonts w:ascii="Times New Roman"/>
        </w:rPr>
      </w:pPr>
    </w:p>
    <w:p w14:paraId="04F4E133" w14:textId="77777777" w:rsidR="00F1512B" w:rsidRDefault="00F1512B">
      <w:pPr>
        <w:pStyle w:val="BodyText"/>
        <w:rPr>
          <w:rFonts w:ascii="Times New Roman"/>
        </w:rPr>
      </w:pPr>
    </w:p>
    <w:p w14:paraId="04F4E134" w14:textId="77777777" w:rsidR="00F1512B" w:rsidRDefault="00F1512B">
      <w:pPr>
        <w:pStyle w:val="BodyText"/>
        <w:rPr>
          <w:rFonts w:ascii="Times New Roman"/>
        </w:rPr>
      </w:pPr>
    </w:p>
    <w:p w14:paraId="04F4E135" w14:textId="77777777" w:rsidR="00F1512B" w:rsidRDefault="00F1512B">
      <w:pPr>
        <w:pStyle w:val="BodyText"/>
        <w:rPr>
          <w:rFonts w:ascii="Times New Roman"/>
        </w:rPr>
      </w:pPr>
    </w:p>
    <w:p w14:paraId="04F4E136" w14:textId="77777777" w:rsidR="00F1512B" w:rsidRDefault="00F1512B">
      <w:pPr>
        <w:pStyle w:val="BodyText"/>
        <w:rPr>
          <w:rFonts w:ascii="Times New Roman"/>
        </w:rPr>
      </w:pPr>
    </w:p>
    <w:p w14:paraId="04F4E137" w14:textId="77777777" w:rsidR="00F1512B" w:rsidRDefault="00F1512B">
      <w:pPr>
        <w:pStyle w:val="BodyText"/>
        <w:rPr>
          <w:rFonts w:ascii="Times New Roman"/>
        </w:rPr>
      </w:pPr>
    </w:p>
    <w:p w14:paraId="04F4E138" w14:textId="77777777" w:rsidR="00F1512B" w:rsidRDefault="00616B30" w:rsidP="004135B4">
      <w:pPr>
        <w:pStyle w:val="Title"/>
        <w:tabs>
          <w:tab w:val="left" w:pos="7380"/>
        </w:tabs>
        <w:spacing w:before="222" w:line="264" w:lineRule="auto"/>
        <w:ind w:left="2520" w:right="2440" w:hanging="900"/>
      </w:pPr>
      <w:r>
        <w:rPr>
          <w:color w:val="57585B"/>
        </w:rPr>
        <w:t>Препоръка на Съвета относно материалните потоци и производителността</w:t>
      </w:r>
    </w:p>
    <w:p w14:paraId="04F4E139" w14:textId="77777777" w:rsidR="00F1512B" w:rsidRDefault="00616B30" w:rsidP="004135B4">
      <w:pPr>
        <w:pStyle w:val="Title"/>
        <w:ind w:left="3780" w:firstLine="0"/>
      </w:pPr>
      <w:r>
        <w:rPr>
          <w:color w:val="57585B"/>
        </w:rPr>
        <w:t>на ресурсите</w:t>
      </w:r>
    </w:p>
    <w:p w14:paraId="04F4E13A" w14:textId="77777777" w:rsidR="00F1512B" w:rsidRDefault="00F1512B">
      <w:pPr>
        <w:pStyle w:val="BodyText"/>
      </w:pPr>
    </w:p>
    <w:p w14:paraId="04F4E13B" w14:textId="77777777" w:rsidR="00F1512B" w:rsidRDefault="00F1512B">
      <w:pPr>
        <w:pStyle w:val="BodyText"/>
      </w:pPr>
    </w:p>
    <w:p w14:paraId="04F4E13C" w14:textId="77777777" w:rsidR="00F1512B" w:rsidRDefault="00F1512B">
      <w:pPr>
        <w:pStyle w:val="BodyText"/>
      </w:pPr>
    </w:p>
    <w:p w14:paraId="04F4E13D" w14:textId="77777777" w:rsidR="00F1512B" w:rsidRDefault="00F1512B">
      <w:pPr>
        <w:pStyle w:val="BodyText"/>
      </w:pPr>
    </w:p>
    <w:p w14:paraId="04F4E13E" w14:textId="77777777" w:rsidR="00F1512B" w:rsidRDefault="00F1512B">
      <w:pPr>
        <w:pStyle w:val="BodyText"/>
      </w:pPr>
    </w:p>
    <w:p w14:paraId="04F4E13F" w14:textId="77777777" w:rsidR="00F1512B" w:rsidRDefault="00F1512B">
      <w:pPr>
        <w:pStyle w:val="BodyText"/>
      </w:pPr>
    </w:p>
    <w:p w14:paraId="04F4E140" w14:textId="77777777" w:rsidR="00F1512B" w:rsidRDefault="00F1512B">
      <w:pPr>
        <w:pStyle w:val="BodyText"/>
      </w:pPr>
    </w:p>
    <w:p w14:paraId="04F4E141" w14:textId="77777777" w:rsidR="00F1512B" w:rsidRDefault="00F1512B">
      <w:pPr>
        <w:pStyle w:val="BodyText"/>
      </w:pPr>
    </w:p>
    <w:p w14:paraId="04F4E142" w14:textId="77777777" w:rsidR="00F1512B" w:rsidRDefault="00F1512B">
      <w:pPr>
        <w:pStyle w:val="BodyText"/>
      </w:pPr>
    </w:p>
    <w:p w14:paraId="04F4E143" w14:textId="77777777" w:rsidR="00F1512B" w:rsidRDefault="00F1512B">
      <w:pPr>
        <w:pStyle w:val="BodyText"/>
      </w:pPr>
    </w:p>
    <w:p w14:paraId="04F4E144" w14:textId="77777777" w:rsidR="00F1512B" w:rsidRDefault="00F1512B">
      <w:pPr>
        <w:pStyle w:val="BodyText"/>
      </w:pPr>
    </w:p>
    <w:p w14:paraId="04F4E145" w14:textId="77777777" w:rsidR="00F1512B" w:rsidRDefault="00F1512B">
      <w:pPr>
        <w:pStyle w:val="BodyText"/>
      </w:pPr>
    </w:p>
    <w:p w14:paraId="04F4E146" w14:textId="77777777" w:rsidR="00F1512B" w:rsidRDefault="00F1512B">
      <w:pPr>
        <w:pStyle w:val="BodyText"/>
      </w:pPr>
    </w:p>
    <w:p w14:paraId="04F4E147" w14:textId="77777777" w:rsidR="00F1512B" w:rsidRDefault="00F1512B">
      <w:pPr>
        <w:pStyle w:val="BodyText"/>
      </w:pPr>
    </w:p>
    <w:p w14:paraId="04F4E148" w14:textId="77777777" w:rsidR="00F1512B" w:rsidRDefault="00F1512B">
      <w:pPr>
        <w:pStyle w:val="BodyText"/>
      </w:pPr>
    </w:p>
    <w:p w14:paraId="04F4E149" w14:textId="77777777" w:rsidR="00F1512B" w:rsidRDefault="00F1512B">
      <w:pPr>
        <w:pStyle w:val="BodyText"/>
      </w:pPr>
    </w:p>
    <w:p w14:paraId="04F4E14A" w14:textId="77777777" w:rsidR="00F1512B" w:rsidRDefault="00F1512B">
      <w:pPr>
        <w:pStyle w:val="BodyText"/>
      </w:pPr>
    </w:p>
    <w:p w14:paraId="04F4E14B" w14:textId="77777777" w:rsidR="00F1512B" w:rsidRDefault="00F1512B">
      <w:pPr>
        <w:pStyle w:val="BodyText"/>
      </w:pPr>
    </w:p>
    <w:p w14:paraId="04F4E14C" w14:textId="77777777" w:rsidR="00F1512B" w:rsidRDefault="00F1512B">
      <w:pPr>
        <w:pStyle w:val="BodyText"/>
      </w:pPr>
    </w:p>
    <w:p w14:paraId="04F4E14D" w14:textId="77777777" w:rsidR="00F1512B" w:rsidRDefault="00F1512B">
      <w:pPr>
        <w:pStyle w:val="BodyText"/>
      </w:pPr>
    </w:p>
    <w:p w14:paraId="04F4E14E" w14:textId="77777777" w:rsidR="00F1512B" w:rsidRDefault="00F1512B">
      <w:pPr>
        <w:pStyle w:val="BodyText"/>
      </w:pPr>
    </w:p>
    <w:p w14:paraId="04F4E14F" w14:textId="77777777" w:rsidR="00F1512B" w:rsidRDefault="00F1512B">
      <w:pPr>
        <w:pStyle w:val="BodyText"/>
      </w:pPr>
    </w:p>
    <w:p w14:paraId="04F4E150" w14:textId="77777777" w:rsidR="00F1512B" w:rsidRDefault="00F1512B">
      <w:pPr>
        <w:pStyle w:val="BodyText"/>
      </w:pPr>
    </w:p>
    <w:p w14:paraId="04F4E151" w14:textId="77777777" w:rsidR="00F1512B" w:rsidRDefault="00F1512B">
      <w:pPr>
        <w:pStyle w:val="BodyText"/>
      </w:pPr>
    </w:p>
    <w:p w14:paraId="04F4E152" w14:textId="77777777" w:rsidR="00F1512B" w:rsidRDefault="00F1512B">
      <w:pPr>
        <w:pStyle w:val="BodyText"/>
      </w:pPr>
    </w:p>
    <w:p w14:paraId="04F4E153" w14:textId="77777777" w:rsidR="00F1512B" w:rsidRDefault="00F1512B">
      <w:pPr>
        <w:pStyle w:val="BodyText"/>
      </w:pPr>
    </w:p>
    <w:p w14:paraId="04F4E154" w14:textId="77777777" w:rsidR="00F1512B" w:rsidRDefault="00F1512B">
      <w:pPr>
        <w:pStyle w:val="BodyText"/>
      </w:pPr>
    </w:p>
    <w:p w14:paraId="04F4E155" w14:textId="77777777" w:rsidR="00F1512B" w:rsidRDefault="00F1512B">
      <w:pPr>
        <w:pStyle w:val="BodyText"/>
        <w:spacing w:before="8"/>
        <w:rPr>
          <w:sz w:val="19"/>
        </w:rPr>
      </w:pPr>
    </w:p>
    <w:p w14:paraId="04F4E156" w14:textId="77777777" w:rsidR="00F1512B" w:rsidRDefault="00616B30" w:rsidP="00557224">
      <w:pPr>
        <w:spacing w:before="142" w:line="204" w:lineRule="auto"/>
        <w:ind w:left="811" w:right="7088" w:hanging="1261"/>
        <w:rPr>
          <w:rFonts w:ascii="Arial Black"/>
          <w:sz w:val="26"/>
        </w:rPr>
      </w:pPr>
      <w:r>
        <w:rPr>
          <w:rFonts w:ascii="Arial Black"/>
          <w:color w:val="004674"/>
          <w:sz w:val="26"/>
        </w:rPr>
        <w:t>Правни</w:t>
      </w:r>
      <w:r>
        <w:rPr>
          <w:rFonts w:ascii="Arial Black"/>
          <w:color w:val="004674"/>
          <w:sz w:val="26"/>
        </w:rPr>
        <w:t xml:space="preserve"> </w:t>
      </w:r>
      <w:r>
        <w:rPr>
          <w:rFonts w:ascii="Arial Black"/>
          <w:color w:val="004674"/>
          <w:sz w:val="26"/>
        </w:rPr>
        <w:t>инструменти</w:t>
      </w:r>
      <w:r>
        <w:rPr>
          <w:rFonts w:ascii="Arial Black"/>
          <w:color w:val="004674"/>
          <w:sz w:val="26"/>
        </w:rPr>
        <w:t xml:space="preserve"> </w:t>
      </w:r>
      <w:r>
        <w:rPr>
          <w:rFonts w:ascii="Arial Black"/>
          <w:color w:val="004674"/>
          <w:sz w:val="26"/>
        </w:rPr>
        <w:t>на</w:t>
      </w:r>
      <w:r>
        <w:rPr>
          <w:rFonts w:ascii="Arial Black"/>
          <w:color w:val="004674"/>
          <w:sz w:val="26"/>
        </w:rPr>
        <w:t xml:space="preserve"> </w:t>
      </w:r>
      <w:r>
        <w:rPr>
          <w:rFonts w:ascii="Arial Black"/>
          <w:color w:val="004674"/>
          <w:sz w:val="26"/>
        </w:rPr>
        <w:t>ОИСР</w:t>
      </w:r>
    </w:p>
    <w:p w14:paraId="04F4E157" w14:textId="77777777" w:rsidR="00F1512B" w:rsidRDefault="00F1512B">
      <w:pPr>
        <w:pStyle w:val="BodyText"/>
        <w:rPr>
          <w:rFonts w:ascii="Arial Black"/>
        </w:rPr>
      </w:pPr>
    </w:p>
    <w:p w14:paraId="04F4E158" w14:textId="77777777" w:rsidR="00F1512B" w:rsidRDefault="00F1512B">
      <w:pPr>
        <w:pStyle w:val="BodyText"/>
        <w:rPr>
          <w:rFonts w:ascii="Arial Black"/>
        </w:rPr>
      </w:pPr>
    </w:p>
    <w:p w14:paraId="04F4E159" w14:textId="77777777" w:rsidR="00F1512B" w:rsidRDefault="00F1512B">
      <w:pPr>
        <w:pStyle w:val="BodyText"/>
        <w:rPr>
          <w:rFonts w:ascii="Arial Black"/>
        </w:rPr>
      </w:pPr>
    </w:p>
    <w:p w14:paraId="04F4E15A" w14:textId="77777777" w:rsidR="00F1512B" w:rsidRDefault="00F1512B">
      <w:pPr>
        <w:pStyle w:val="BodyText"/>
        <w:rPr>
          <w:rFonts w:ascii="Arial Black"/>
        </w:rPr>
      </w:pPr>
    </w:p>
    <w:p w14:paraId="04F4E15B" w14:textId="77777777" w:rsidR="00F1512B" w:rsidRDefault="00F1512B">
      <w:pPr>
        <w:pStyle w:val="BodyText"/>
        <w:rPr>
          <w:rFonts w:ascii="Arial Black"/>
        </w:rPr>
      </w:pPr>
    </w:p>
    <w:p w14:paraId="04F4E15C" w14:textId="77777777" w:rsidR="00F1512B" w:rsidRDefault="00F1512B">
      <w:pPr>
        <w:pStyle w:val="BodyText"/>
        <w:rPr>
          <w:rFonts w:ascii="Arial Black"/>
        </w:rPr>
      </w:pPr>
    </w:p>
    <w:p w14:paraId="04F4E15D" w14:textId="77777777" w:rsidR="00F1512B" w:rsidRDefault="00F1512B">
      <w:pPr>
        <w:pStyle w:val="BodyText"/>
        <w:rPr>
          <w:rFonts w:ascii="Arial Black"/>
        </w:rPr>
      </w:pPr>
    </w:p>
    <w:p w14:paraId="04F4E15E" w14:textId="77777777" w:rsidR="00F1512B" w:rsidRDefault="00F1512B">
      <w:pPr>
        <w:pStyle w:val="BodyText"/>
        <w:rPr>
          <w:rFonts w:ascii="Arial Black"/>
        </w:rPr>
      </w:pPr>
    </w:p>
    <w:p w14:paraId="04F4E160" w14:textId="77777777" w:rsidR="00F1512B" w:rsidRDefault="00F1512B">
      <w:pPr>
        <w:pStyle w:val="BodyText"/>
        <w:rPr>
          <w:rFonts w:ascii="Arial Black"/>
        </w:rPr>
      </w:pPr>
    </w:p>
    <w:p w14:paraId="04F4E162" w14:textId="55D85A70" w:rsidR="00F1512B" w:rsidRDefault="00616B30" w:rsidP="00557224">
      <w:pPr>
        <w:pStyle w:val="BodyText"/>
        <w:spacing w:before="7"/>
        <w:rPr>
          <w:rFonts w:ascii="Arial Black"/>
          <w:sz w:val="19"/>
        </w:rPr>
        <w:sectPr w:rsidR="00F1512B">
          <w:type w:val="continuous"/>
          <w:pgSz w:w="11920" w:h="16850"/>
          <w:pgMar w:top="720" w:right="420" w:bottom="280" w:left="1680" w:header="720" w:footer="720" w:gutter="0"/>
          <w:cols w:space="720"/>
        </w:sectPr>
      </w:pPr>
      <w:r>
        <w:rPr>
          <w:noProof/>
        </w:rPr>
        <w:drawing>
          <wp:anchor distT="0" distB="0" distL="0" distR="0" simplePos="0" relativeHeight="251659264" behindDoc="0" locked="0" layoutInCell="1" allowOverlap="1" wp14:anchorId="04F4E1ED" wp14:editId="04F4E1EE">
            <wp:simplePos x="0" y="0"/>
            <wp:positionH relativeFrom="page">
              <wp:posOffset>5058409</wp:posOffset>
            </wp:positionH>
            <wp:positionV relativeFrom="paragraph">
              <wp:posOffset>199379</wp:posOffset>
            </wp:positionV>
            <wp:extent cx="2165036" cy="666750"/>
            <wp:effectExtent l="0" t="0" r="0" b="0"/>
            <wp:wrapTopAndBottom/>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9" cstate="print"/>
                    <a:stretch>
                      <a:fillRect/>
                    </a:stretch>
                  </pic:blipFill>
                  <pic:spPr>
                    <a:xfrm>
                      <a:off x="0" y="0"/>
                      <a:ext cx="2165036" cy="666750"/>
                    </a:xfrm>
                    <a:prstGeom prst="rect">
                      <a:avLst/>
                    </a:prstGeom>
                  </pic:spPr>
                </pic:pic>
              </a:graphicData>
            </a:graphic>
          </wp:anchor>
        </w:drawing>
      </w:r>
    </w:p>
    <w:p w14:paraId="04F4E163" w14:textId="77777777" w:rsidR="00F1512B" w:rsidRDefault="00F1512B">
      <w:pPr>
        <w:pStyle w:val="BodyText"/>
        <w:rPr>
          <w:rFonts w:ascii="Arial Black"/>
        </w:rPr>
      </w:pPr>
    </w:p>
    <w:p w14:paraId="04F4E164" w14:textId="77777777" w:rsidR="00F1512B" w:rsidRDefault="00F1512B">
      <w:pPr>
        <w:pStyle w:val="BodyText"/>
        <w:rPr>
          <w:rFonts w:ascii="Arial Black"/>
        </w:rPr>
      </w:pPr>
    </w:p>
    <w:p w14:paraId="04F4E165" w14:textId="77777777" w:rsidR="00F1512B" w:rsidRDefault="00F1512B">
      <w:pPr>
        <w:pStyle w:val="BodyText"/>
        <w:rPr>
          <w:rFonts w:ascii="Arial Black"/>
        </w:rPr>
      </w:pPr>
    </w:p>
    <w:p w14:paraId="04F4E166" w14:textId="77777777" w:rsidR="00F1512B" w:rsidRDefault="00F1512B">
      <w:pPr>
        <w:pStyle w:val="BodyText"/>
        <w:rPr>
          <w:rFonts w:ascii="Arial Black"/>
        </w:rPr>
      </w:pPr>
    </w:p>
    <w:p w14:paraId="04F4E167" w14:textId="77777777" w:rsidR="00F1512B" w:rsidRDefault="00F1512B">
      <w:pPr>
        <w:pStyle w:val="BodyText"/>
        <w:rPr>
          <w:rFonts w:ascii="Arial Black"/>
        </w:rPr>
      </w:pPr>
    </w:p>
    <w:p w14:paraId="04F4E168" w14:textId="77777777" w:rsidR="00F1512B" w:rsidRDefault="00F1512B">
      <w:pPr>
        <w:pStyle w:val="BodyText"/>
        <w:spacing w:before="1"/>
        <w:rPr>
          <w:rFonts w:ascii="Arial Black"/>
          <w:sz w:val="22"/>
        </w:rPr>
      </w:pPr>
    </w:p>
    <w:p w14:paraId="04F4E169" w14:textId="77777777" w:rsidR="00F1512B" w:rsidRDefault="00616B30">
      <w:pPr>
        <w:spacing w:before="94" w:line="242" w:lineRule="auto"/>
        <w:ind w:left="797" w:right="817"/>
        <w:jc w:val="both"/>
        <w:rPr>
          <w:sz w:val="18"/>
        </w:rPr>
      </w:pPr>
      <w:r>
        <w:rPr>
          <w:sz w:val="18"/>
        </w:rPr>
        <w:t>Този документ е публикуван под отговорността на генералния секретар на ОИСР. Той пресъздава правен инструмент на ОИСР и може да съдържа допълнителен материал. Изразените мнения и аргументите, използвани в допълнителния материал, не отразяват непременно официалните възгледи на страните-членки на ОИСР.</w:t>
      </w:r>
    </w:p>
    <w:p w14:paraId="04F4E16A" w14:textId="77777777" w:rsidR="00F1512B" w:rsidRDefault="00F1512B">
      <w:pPr>
        <w:pStyle w:val="BodyText"/>
        <w:spacing w:before="10"/>
        <w:rPr>
          <w:sz w:val="15"/>
        </w:rPr>
      </w:pPr>
    </w:p>
    <w:p w14:paraId="04F4E16B" w14:textId="77777777" w:rsidR="00F1512B" w:rsidRDefault="00616B30">
      <w:pPr>
        <w:spacing w:line="242" w:lineRule="auto"/>
        <w:ind w:left="797" w:right="815"/>
        <w:jc w:val="both"/>
        <w:rPr>
          <w:sz w:val="18"/>
        </w:rPr>
      </w:pPr>
      <w:r>
        <w:rPr>
          <w:sz w:val="18"/>
        </w:rPr>
        <w:t>Този документ, както и всички данни и всяка карта, включени тук, не засягат статута или суверенитета върху която и да е територия, разграничаването на международни граници и наименованието на която и да е територия, град или област.</w:t>
      </w:r>
    </w:p>
    <w:p w14:paraId="04F4E16C" w14:textId="77777777" w:rsidR="00F1512B" w:rsidRDefault="00F1512B">
      <w:pPr>
        <w:pStyle w:val="BodyText"/>
      </w:pPr>
    </w:p>
    <w:p w14:paraId="04F4E16D" w14:textId="77777777" w:rsidR="00F1512B" w:rsidRDefault="00F1512B">
      <w:pPr>
        <w:pStyle w:val="BodyText"/>
      </w:pPr>
    </w:p>
    <w:p w14:paraId="04F4E16E" w14:textId="77777777" w:rsidR="00F1512B" w:rsidRDefault="00F1512B">
      <w:pPr>
        <w:pStyle w:val="BodyText"/>
      </w:pPr>
    </w:p>
    <w:p w14:paraId="04F4E16F" w14:textId="77777777" w:rsidR="00F1512B" w:rsidRDefault="00F1512B">
      <w:pPr>
        <w:pStyle w:val="BodyText"/>
      </w:pPr>
    </w:p>
    <w:p w14:paraId="04F4E170" w14:textId="77777777" w:rsidR="00F1512B" w:rsidRDefault="00F1512B">
      <w:pPr>
        <w:pStyle w:val="BodyText"/>
      </w:pPr>
    </w:p>
    <w:p w14:paraId="04F4E171" w14:textId="77777777" w:rsidR="00F1512B" w:rsidRDefault="00F1512B">
      <w:pPr>
        <w:pStyle w:val="BodyText"/>
      </w:pPr>
    </w:p>
    <w:p w14:paraId="04F4E172" w14:textId="77777777" w:rsidR="00F1512B" w:rsidRDefault="00F1512B">
      <w:pPr>
        <w:pStyle w:val="BodyText"/>
      </w:pPr>
    </w:p>
    <w:p w14:paraId="04F4E173" w14:textId="77777777" w:rsidR="00F1512B" w:rsidRDefault="00F1512B">
      <w:pPr>
        <w:pStyle w:val="BodyText"/>
      </w:pPr>
    </w:p>
    <w:p w14:paraId="04F4E174" w14:textId="77777777" w:rsidR="00F1512B" w:rsidRDefault="00F1512B">
      <w:pPr>
        <w:pStyle w:val="BodyText"/>
      </w:pPr>
    </w:p>
    <w:p w14:paraId="04F4E175" w14:textId="77777777" w:rsidR="00F1512B" w:rsidRDefault="00F1512B">
      <w:pPr>
        <w:pStyle w:val="BodyText"/>
      </w:pPr>
    </w:p>
    <w:p w14:paraId="04F4E176" w14:textId="77777777" w:rsidR="00F1512B" w:rsidRDefault="00F1512B">
      <w:pPr>
        <w:pStyle w:val="BodyText"/>
      </w:pPr>
    </w:p>
    <w:p w14:paraId="04F4E177" w14:textId="77777777" w:rsidR="00F1512B" w:rsidRDefault="00F1512B">
      <w:pPr>
        <w:pStyle w:val="BodyText"/>
      </w:pPr>
    </w:p>
    <w:p w14:paraId="04F4E178" w14:textId="77777777" w:rsidR="00F1512B" w:rsidRDefault="00F1512B">
      <w:pPr>
        <w:pStyle w:val="BodyText"/>
      </w:pPr>
    </w:p>
    <w:p w14:paraId="04F4E179" w14:textId="77777777" w:rsidR="00F1512B" w:rsidRDefault="00F1512B">
      <w:pPr>
        <w:pStyle w:val="BodyText"/>
      </w:pPr>
    </w:p>
    <w:p w14:paraId="04F4E17A" w14:textId="77777777" w:rsidR="00F1512B" w:rsidRDefault="00F1512B">
      <w:pPr>
        <w:pStyle w:val="BodyText"/>
      </w:pPr>
    </w:p>
    <w:p w14:paraId="04F4E17B" w14:textId="77777777" w:rsidR="00F1512B" w:rsidRDefault="00F1512B">
      <w:pPr>
        <w:pStyle w:val="BodyText"/>
      </w:pPr>
    </w:p>
    <w:p w14:paraId="04F4E17C" w14:textId="77777777" w:rsidR="00F1512B" w:rsidRDefault="00F1512B">
      <w:pPr>
        <w:pStyle w:val="BodyText"/>
      </w:pPr>
    </w:p>
    <w:p w14:paraId="04F4E17D" w14:textId="77777777" w:rsidR="00F1512B" w:rsidRDefault="00F1512B">
      <w:pPr>
        <w:pStyle w:val="BodyText"/>
      </w:pPr>
    </w:p>
    <w:p w14:paraId="04F4E17E" w14:textId="77777777" w:rsidR="00F1512B" w:rsidRDefault="00F1512B">
      <w:pPr>
        <w:pStyle w:val="BodyText"/>
      </w:pPr>
    </w:p>
    <w:p w14:paraId="04F4E17F" w14:textId="77777777" w:rsidR="00F1512B" w:rsidRDefault="00F1512B">
      <w:pPr>
        <w:pStyle w:val="BodyText"/>
      </w:pPr>
    </w:p>
    <w:p w14:paraId="04F4E180" w14:textId="77777777" w:rsidR="00F1512B" w:rsidRDefault="00F1512B">
      <w:pPr>
        <w:pStyle w:val="BodyText"/>
      </w:pPr>
    </w:p>
    <w:p w14:paraId="04F4E181" w14:textId="77777777" w:rsidR="00F1512B" w:rsidRDefault="00F1512B">
      <w:pPr>
        <w:pStyle w:val="BodyText"/>
      </w:pPr>
    </w:p>
    <w:p w14:paraId="04F4E182" w14:textId="77777777" w:rsidR="00F1512B" w:rsidRDefault="00F1512B">
      <w:pPr>
        <w:pStyle w:val="BodyText"/>
      </w:pPr>
    </w:p>
    <w:p w14:paraId="04F4E183" w14:textId="77777777" w:rsidR="00F1512B" w:rsidRDefault="00F1512B">
      <w:pPr>
        <w:pStyle w:val="BodyText"/>
      </w:pPr>
    </w:p>
    <w:p w14:paraId="04F4E184" w14:textId="77777777" w:rsidR="00F1512B" w:rsidRDefault="00F1512B">
      <w:pPr>
        <w:pStyle w:val="BodyText"/>
      </w:pPr>
    </w:p>
    <w:p w14:paraId="04F4E185" w14:textId="77777777" w:rsidR="00F1512B" w:rsidRDefault="00F1512B">
      <w:pPr>
        <w:pStyle w:val="BodyText"/>
      </w:pPr>
    </w:p>
    <w:p w14:paraId="04F4E186" w14:textId="77777777" w:rsidR="00F1512B" w:rsidRDefault="00F1512B">
      <w:pPr>
        <w:pStyle w:val="BodyText"/>
      </w:pPr>
    </w:p>
    <w:p w14:paraId="04F4E187" w14:textId="77777777" w:rsidR="00F1512B" w:rsidRDefault="00F1512B">
      <w:pPr>
        <w:pStyle w:val="BodyText"/>
      </w:pPr>
    </w:p>
    <w:p w14:paraId="04F4E188" w14:textId="77777777" w:rsidR="00F1512B" w:rsidRDefault="00F1512B">
      <w:pPr>
        <w:pStyle w:val="BodyText"/>
        <w:spacing w:before="4"/>
      </w:pPr>
    </w:p>
    <w:p w14:paraId="04F4E189" w14:textId="77777777" w:rsidR="00F1512B" w:rsidRDefault="00616B30">
      <w:pPr>
        <w:spacing w:line="242" w:lineRule="auto"/>
        <w:ind w:left="797" w:right="359"/>
        <w:rPr>
          <w:sz w:val="18"/>
        </w:rPr>
      </w:pPr>
      <w:r>
        <w:rPr>
          <w:sz w:val="18"/>
        </w:rPr>
        <w:t>За достъп до официалните и актуални текстове на правните инструменти на ОИСР, както и друга свързана информация, моля, направете справка със Сборника на правните инструменти на ОИСР на</w:t>
      </w:r>
      <w:r>
        <w:t xml:space="preserve"> </w:t>
      </w:r>
      <w:hyperlink r:id="rId10">
        <w:r>
          <w:rPr>
            <w:color w:val="0000ED"/>
            <w:sz w:val="18"/>
            <w:u w:val="single" w:color="0000ED"/>
          </w:rPr>
          <w:t>http://legalinstruments.oecd.org</w:t>
        </w:r>
      </w:hyperlink>
      <w:r>
        <w:t xml:space="preserve"> </w:t>
      </w:r>
      <w:r>
        <w:rPr>
          <w:sz w:val="18"/>
        </w:rPr>
        <w:t>.</w:t>
      </w:r>
    </w:p>
    <w:p w14:paraId="04F4E18A" w14:textId="77777777" w:rsidR="00F1512B" w:rsidRDefault="00EA7193">
      <w:pPr>
        <w:pStyle w:val="BodyText"/>
        <w:rPr>
          <w:sz w:val="14"/>
        </w:rPr>
      </w:pPr>
      <w:r>
        <w:pict w14:anchorId="04F4E1F0">
          <v:shapetype id="_x0000_t202" coordsize="21600,21600" o:spt="202" path="m,l,21600r21600,l21600,xe">
            <v:stroke joinstyle="miter"/>
            <v:path gradientshapeok="t" o:connecttype="rect"/>
          </v:shapetype>
          <v:shape id="_x0000_s1034" type="#_x0000_t202" style="position:absolute;margin-left:76.85pt;margin-top:9.3pt;width:441.5pt;height:35.3pt;z-index:-15727616;mso-wrap-distance-left:0;mso-wrap-distance-right:0;mso-position-horizontal-relative:page" fillcolor="#dcd8c2" stroked="f">
            <v:textbox inset="0,0,0,0">
              <w:txbxContent>
                <w:p w14:paraId="04F4E1F9" w14:textId="77777777" w:rsidR="00F1512B" w:rsidRPr="007F434F" w:rsidRDefault="00616B30">
                  <w:pPr>
                    <w:spacing w:before="1"/>
                    <w:rPr>
                      <w:b/>
                      <w:sz w:val="16"/>
                      <w:szCs w:val="20"/>
                    </w:rPr>
                  </w:pPr>
                  <w:r w:rsidRPr="007F434F">
                    <w:rPr>
                      <w:b/>
                      <w:sz w:val="16"/>
                      <w:szCs w:val="20"/>
                    </w:rPr>
                    <w:t>Моля, цитирайте този документ като:</w:t>
                  </w:r>
                </w:p>
                <w:p w14:paraId="04F4E1FA" w14:textId="77777777" w:rsidR="00F1512B" w:rsidRDefault="00616B30">
                  <w:pPr>
                    <w:spacing w:before="8"/>
                    <w:rPr>
                      <w:sz w:val="18"/>
                    </w:rPr>
                  </w:pPr>
                  <w:r>
                    <w:rPr>
                      <w:sz w:val="18"/>
                    </w:rPr>
                    <w:t xml:space="preserve">ОИСР, </w:t>
                  </w:r>
                  <w:r>
                    <w:rPr>
                      <w:i/>
                      <w:sz w:val="18"/>
                    </w:rPr>
                    <w:t>Препоръка на Съвета относно материалните потоци и производителността на ресурсите</w:t>
                  </w:r>
                  <w:r>
                    <w:rPr>
                      <w:sz w:val="18"/>
                    </w:rPr>
                    <w:t>, OECD/LEGAL/0324</w:t>
                  </w:r>
                </w:p>
              </w:txbxContent>
            </v:textbox>
            <w10:wrap type="topAndBottom" anchorx="page"/>
          </v:shape>
        </w:pict>
      </w:r>
    </w:p>
    <w:p w14:paraId="04F4E18B" w14:textId="77777777" w:rsidR="00F1512B" w:rsidRDefault="00F1512B">
      <w:pPr>
        <w:pStyle w:val="BodyText"/>
        <w:rPr>
          <w:sz w:val="15"/>
        </w:rPr>
      </w:pPr>
    </w:p>
    <w:p w14:paraId="04F4E18C" w14:textId="77777777" w:rsidR="00F1512B" w:rsidRDefault="00616B30">
      <w:pPr>
        <w:spacing w:before="96"/>
        <w:ind w:left="797"/>
        <w:jc w:val="both"/>
        <w:rPr>
          <w:sz w:val="14"/>
        </w:rPr>
      </w:pPr>
      <w:r>
        <w:rPr>
          <w:sz w:val="14"/>
        </w:rPr>
        <w:t>Серия: Правни инструменти на ОИСР</w:t>
      </w:r>
    </w:p>
    <w:p w14:paraId="04F4E18D" w14:textId="77777777" w:rsidR="00F1512B" w:rsidRDefault="00F1512B">
      <w:pPr>
        <w:pStyle w:val="BodyText"/>
        <w:rPr>
          <w:sz w:val="16"/>
        </w:rPr>
      </w:pPr>
    </w:p>
    <w:p w14:paraId="04F4E18E" w14:textId="77777777" w:rsidR="00F1512B" w:rsidRDefault="00F1512B">
      <w:pPr>
        <w:pStyle w:val="BodyText"/>
        <w:rPr>
          <w:sz w:val="16"/>
        </w:rPr>
      </w:pPr>
    </w:p>
    <w:p w14:paraId="04F4E18F" w14:textId="77777777" w:rsidR="00F1512B" w:rsidRDefault="00F1512B">
      <w:pPr>
        <w:pStyle w:val="BodyText"/>
        <w:spacing w:before="3"/>
        <w:rPr>
          <w:sz w:val="17"/>
        </w:rPr>
      </w:pPr>
    </w:p>
    <w:p w14:paraId="04F4E190" w14:textId="77777777" w:rsidR="00F1512B" w:rsidRDefault="00616B30">
      <w:pPr>
        <w:ind w:left="797"/>
        <w:jc w:val="both"/>
        <w:rPr>
          <w:sz w:val="18"/>
        </w:rPr>
      </w:pPr>
      <w:r>
        <w:rPr>
          <w:sz w:val="18"/>
        </w:rPr>
        <w:t>© ОИСР 2021</w:t>
      </w:r>
    </w:p>
    <w:p w14:paraId="04F4E191" w14:textId="77777777" w:rsidR="00F1512B" w:rsidRDefault="00EA7193">
      <w:pPr>
        <w:pStyle w:val="BodyText"/>
        <w:rPr>
          <w:sz w:val="22"/>
        </w:rPr>
      </w:pPr>
      <w:r>
        <w:pict w14:anchorId="04F4E1F1">
          <v:rect id="_x0000_s1033" style="position:absolute;margin-left:76.85pt;margin-top:14.6pt;width:441.5pt;height:.5pt;z-index:-15727104;mso-wrap-distance-left:0;mso-wrap-distance-right:0;mso-position-horizontal-relative:page" fillcolor="black" stroked="f">
            <w10:wrap type="topAndBottom" anchorx="page"/>
          </v:rect>
        </w:pict>
      </w:r>
    </w:p>
    <w:p w14:paraId="04F4E192" w14:textId="77777777" w:rsidR="00F1512B" w:rsidRDefault="00616B30">
      <w:pPr>
        <w:spacing w:before="83" w:line="242" w:lineRule="auto"/>
        <w:ind w:left="797" w:right="821"/>
        <w:jc w:val="both"/>
        <w:rPr>
          <w:sz w:val="12"/>
        </w:rPr>
      </w:pPr>
      <w:r>
        <w:rPr>
          <w:sz w:val="12"/>
        </w:rPr>
        <w:t>Този документ се предоставя безплатно. Може да се възпроизвежда и разпространява безплатно, без да се изискват допълнителни разрешения, стига да не се променя по никакъв начин. Не може да се продава.</w:t>
      </w:r>
    </w:p>
    <w:p w14:paraId="04F4E193" w14:textId="77777777" w:rsidR="00F1512B" w:rsidRDefault="00F1512B">
      <w:pPr>
        <w:pStyle w:val="BodyText"/>
        <w:spacing w:before="6"/>
        <w:rPr>
          <w:sz w:val="10"/>
        </w:rPr>
      </w:pPr>
    </w:p>
    <w:p w14:paraId="04F4E194" w14:textId="77777777" w:rsidR="00F1512B" w:rsidRDefault="00EA7193">
      <w:pPr>
        <w:spacing w:line="252" w:lineRule="auto"/>
        <w:ind w:left="797" w:right="817"/>
        <w:jc w:val="both"/>
        <w:rPr>
          <w:i/>
          <w:sz w:val="12"/>
        </w:rPr>
      </w:pPr>
      <w:r>
        <w:pict w14:anchorId="04F4E1F2">
          <v:rect id="_x0000_s1032" style="position:absolute;left:0;text-align:left;margin-left:76.85pt;margin-top:35.15pt;width:441.5pt;height:.5pt;z-index:-15726592;mso-wrap-distance-left:0;mso-wrap-distance-right:0;mso-position-horizontal-relative:page" fillcolor="black" stroked="f">
            <w10:wrap type="topAndBottom" anchorx="page"/>
          </v:rect>
        </w:pict>
      </w:r>
      <w:r w:rsidR="00616B30">
        <w:rPr>
          <w:sz w:val="12"/>
        </w:rPr>
        <w:t xml:space="preserve">Този документ е достъпен на двата официални езика на ОИСР (английски и френски). Може да бъде преведен на други езици, стига преводът да е обозначен като „неофициален превод“ и да включва следната декларация за отказ от отговорност: </w:t>
      </w:r>
      <w:r w:rsidR="00616B30">
        <w:rPr>
          <w:i/>
          <w:sz w:val="12"/>
        </w:rPr>
        <w:t>„Този превод е изготвен от [ИМЕ НА АВТОРА НА ПРЕВОДА] само с информационна цел и неговата точност не може да бъде гарантирана от ОИСР. Единствените официални версии са английските и френските текстове, достъпни на уебсайта на ОИСР</w:t>
      </w:r>
      <w:r w:rsidR="00616B30">
        <w:t xml:space="preserve"> </w:t>
      </w:r>
      <w:hyperlink r:id="rId11">
        <w:r w:rsidR="00616B30">
          <w:rPr>
            <w:i/>
            <w:color w:val="0000ED"/>
            <w:sz w:val="12"/>
            <w:u w:val="single" w:color="0000ED"/>
          </w:rPr>
          <w:t>http://legalinstruments.oecd.org</w:t>
        </w:r>
      </w:hyperlink>
      <w:r w:rsidR="00616B30">
        <w:t xml:space="preserve"> </w:t>
      </w:r>
      <w:r w:rsidR="00616B30">
        <w:rPr>
          <w:i/>
          <w:sz w:val="12"/>
        </w:rPr>
        <w:t>"</w:t>
      </w:r>
    </w:p>
    <w:p w14:paraId="04F4E195" w14:textId="77777777" w:rsidR="00F1512B" w:rsidRDefault="00F1512B">
      <w:pPr>
        <w:spacing w:line="252" w:lineRule="auto"/>
        <w:jc w:val="both"/>
        <w:rPr>
          <w:sz w:val="12"/>
        </w:rPr>
        <w:sectPr w:rsidR="00F1512B">
          <w:pgSz w:w="11910" w:h="16840"/>
          <w:pgMar w:top="1580" w:right="719" w:bottom="280" w:left="740" w:header="720" w:footer="720" w:gutter="0"/>
          <w:cols w:space="720"/>
        </w:sectPr>
      </w:pPr>
    </w:p>
    <w:p w14:paraId="04F4E196" w14:textId="59D162AD" w:rsidR="00F1512B" w:rsidRDefault="00616B30">
      <w:pPr>
        <w:pStyle w:val="BodyText"/>
        <w:tabs>
          <w:tab w:val="left" w:pos="2288"/>
        </w:tabs>
        <w:spacing w:before="70"/>
        <w:ind w:right="102"/>
        <w:jc w:val="right"/>
      </w:pPr>
      <w:r>
        <w:rPr>
          <w:color w:val="2B2A29"/>
        </w:rPr>
        <w:lastRenderedPageBreak/>
        <w:t>OEC</w:t>
      </w:r>
      <w:r>
        <w:rPr>
          <w:color w:val="2B2A29"/>
          <w:u w:val="single" w:color="2A2928"/>
        </w:rPr>
        <w:t>D/</w:t>
      </w:r>
      <w:r>
        <w:rPr>
          <w:color w:val="2B2A29"/>
        </w:rPr>
        <w:t>L</w:t>
      </w:r>
      <w:r>
        <w:rPr>
          <w:color w:val="2B2A29"/>
          <w:u w:val="single" w:color="2A2928"/>
        </w:rPr>
        <w:t>EG</w:t>
      </w:r>
      <w:r>
        <w:rPr>
          <w:color w:val="2B2A29"/>
        </w:rPr>
        <w:t>AL/0324</w:t>
      </w:r>
      <w:r w:rsidR="0063127C">
        <w:rPr>
          <w:color w:val="2B2A29"/>
        </w:rPr>
        <w:t>______</w:t>
      </w:r>
      <w:r>
        <w:rPr>
          <w:b/>
          <w:color w:val="2B2A29"/>
        </w:rPr>
        <w:t>3</w:t>
      </w:r>
    </w:p>
    <w:p w14:paraId="04F4E197" w14:textId="77777777" w:rsidR="00F1512B" w:rsidRDefault="00EA7193">
      <w:pPr>
        <w:pStyle w:val="BodyText"/>
        <w:spacing w:line="20" w:lineRule="exact"/>
        <w:ind w:left="103"/>
        <w:rPr>
          <w:sz w:val="2"/>
        </w:rPr>
      </w:pPr>
      <w:r>
        <w:rPr>
          <w:sz w:val="2"/>
        </w:rPr>
      </w:r>
      <w:r>
        <w:rPr>
          <w:sz w:val="2"/>
        </w:rPr>
        <w:pict w14:anchorId="04F4E1F4">
          <v:group id="_x0000_s1030" style="width:396.1pt;height:.65pt;mso-position-horizontal-relative:char;mso-position-vertical-relative:line" coordsize="7922,13">
            <v:line id="_x0000_s1031" style="position:absolute" from="0,6" to="7921,6" strokecolor="#2a2928" strokeweight=".63pt"/>
            <w10:anchorlock/>
          </v:group>
        </w:pict>
      </w:r>
    </w:p>
    <w:p w14:paraId="04F4E198" w14:textId="77777777" w:rsidR="00F1512B" w:rsidRDefault="00F1512B">
      <w:pPr>
        <w:pStyle w:val="BodyText"/>
        <w:spacing w:before="9"/>
        <w:rPr>
          <w:sz w:val="15"/>
        </w:rPr>
      </w:pPr>
    </w:p>
    <w:p w14:paraId="04F4E199" w14:textId="77777777" w:rsidR="00F1512B" w:rsidRDefault="00616B30">
      <w:pPr>
        <w:pStyle w:val="Heading1"/>
        <w:spacing w:before="93"/>
        <w:ind w:left="797"/>
      </w:pPr>
      <w:r>
        <w:rPr>
          <w:color w:val="1E487C"/>
        </w:rPr>
        <w:t>Обща информация</w:t>
      </w:r>
    </w:p>
    <w:p w14:paraId="04F4E19A" w14:textId="77777777" w:rsidR="00F1512B" w:rsidRDefault="00F1512B">
      <w:pPr>
        <w:pStyle w:val="BodyText"/>
        <w:rPr>
          <w:b/>
          <w:sz w:val="26"/>
        </w:rPr>
      </w:pPr>
    </w:p>
    <w:p w14:paraId="04F4E19B" w14:textId="77777777" w:rsidR="00F1512B" w:rsidRDefault="00F1512B">
      <w:pPr>
        <w:pStyle w:val="BodyText"/>
        <w:spacing w:before="3"/>
        <w:rPr>
          <w:b/>
          <w:sz w:val="23"/>
        </w:rPr>
      </w:pPr>
    </w:p>
    <w:p w14:paraId="04F4E19C" w14:textId="77777777" w:rsidR="00F1512B" w:rsidRDefault="00616B30">
      <w:pPr>
        <w:pStyle w:val="BodyText"/>
        <w:ind w:left="797" w:right="813"/>
        <w:jc w:val="both"/>
      </w:pPr>
      <w:r>
        <w:t>Препоръката относно материалните потоци и производителността на ресурсите беше приета от Съвета на ОИСР на 21 април 2004 г. по предложение на Комитета по екологична политика. Препоръката признава необходимостта от съгласувани усилия от страна на присъединилите се страни за подобряване на информацията и знанията за материалните потоци и производителността на ресурсите и за разработване на общи методологии и системи за измерване, с акцент върху областите, в които могат да бъдат определени съпоставими и практически показатели.</w:t>
      </w:r>
    </w:p>
    <w:p w14:paraId="04F4E19D" w14:textId="77777777" w:rsidR="00F1512B" w:rsidRDefault="00F1512B">
      <w:pPr>
        <w:jc w:val="both"/>
        <w:sectPr w:rsidR="00F1512B">
          <w:pgSz w:w="11910" w:h="16840"/>
          <w:pgMar w:top="760" w:right="719" w:bottom="280" w:left="740" w:header="720" w:footer="720" w:gutter="0"/>
          <w:cols w:space="720"/>
        </w:sectPr>
      </w:pPr>
    </w:p>
    <w:p w14:paraId="04F4E19E" w14:textId="695315AA" w:rsidR="00F1512B" w:rsidRDefault="00616B30">
      <w:pPr>
        <w:pStyle w:val="BodyText"/>
        <w:tabs>
          <w:tab w:val="left" w:pos="677"/>
        </w:tabs>
        <w:spacing w:before="69"/>
        <w:ind w:left="110"/>
      </w:pPr>
      <w:r>
        <w:rPr>
          <w:b/>
          <w:color w:val="2B2A29"/>
          <w:u w:val="single" w:color="2A2928"/>
        </w:rPr>
        <w:lastRenderedPageBreak/>
        <w:t>4</w:t>
      </w:r>
      <w:r>
        <w:rPr>
          <w:b/>
          <w:color w:val="2B2A29"/>
          <w:u w:val="single" w:color="2A2928"/>
        </w:rPr>
        <w:tab/>
      </w:r>
      <w:r>
        <w:rPr>
          <w:color w:val="2B2A29"/>
          <w:u w:val="single" w:color="2A2928"/>
        </w:rPr>
        <w:t>O</w:t>
      </w:r>
      <w:r>
        <w:rPr>
          <w:color w:val="2B2A29"/>
        </w:rPr>
        <w:t>E</w:t>
      </w:r>
      <w:r>
        <w:rPr>
          <w:color w:val="2B2A29"/>
          <w:u w:val="single" w:color="2A2928"/>
        </w:rPr>
        <w:t>CD</w:t>
      </w:r>
      <w:r>
        <w:rPr>
          <w:color w:val="2B2A29"/>
        </w:rPr>
        <w:t>/L</w:t>
      </w:r>
      <w:r>
        <w:rPr>
          <w:color w:val="2B2A29"/>
          <w:u w:val="single" w:color="2A2928"/>
        </w:rPr>
        <w:t>EG</w:t>
      </w:r>
      <w:r>
        <w:rPr>
          <w:color w:val="2B2A29"/>
        </w:rPr>
        <w:t>AL/0324</w:t>
      </w:r>
    </w:p>
    <w:p w14:paraId="04F4E19F" w14:textId="77777777" w:rsidR="00F1512B" w:rsidRDefault="00EA7193">
      <w:pPr>
        <w:pStyle w:val="BodyText"/>
        <w:spacing w:line="20" w:lineRule="exact"/>
        <w:ind w:left="2413"/>
        <w:rPr>
          <w:sz w:val="2"/>
        </w:rPr>
      </w:pPr>
      <w:r>
        <w:rPr>
          <w:sz w:val="2"/>
        </w:rPr>
      </w:r>
      <w:r>
        <w:rPr>
          <w:sz w:val="2"/>
        </w:rPr>
        <w:pict w14:anchorId="04F4E1F6">
          <v:group id="_x0000_s1028" style="width:396.1pt;height:.65pt;mso-position-horizontal-relative:char;mso-position-vertical-relative:line" coordsize="7922,13">
            <v:line id="_x0000_s1029" style="position:absolute" from="0,6" to="7921,6" strokecolor="#2a2928" strokeweight=".63pt"/>
            <w10:anchorlock/>
          </v:group>
        </w:pict>
      </w:r>
    </w:p>
    <w:p w14:paraId="04F4E1A0" w14:textId="77777777" w:rsidR="00F1512B" w:rsidRDefault="00F1512B">
      <w:pPr>
        <w:pStyle w:val="BodyText"/>
        <w:rPr>
          <w:sz w:val="15"/>
        </w:rPr>
      </w:pPr>
    </w:p>
    <w:p w14:paraId="04F4E1A1" w14:textId="77777777" w:rsidR="00F1512B" w:rsidRDefault="00616B30">
      <w:pPr>
        <w:pStyle w:val="Heading2"/>
        <w:spacing w:before="93"/>
      </w:pPr>
      <w:r>
        <w:t>СЪВЕТЪТ,</w:t>
      </w:r>
    </w:p>
    <w:p w14:paraId="04F4E1A2" w14:textId="77777777" w:rsidR="00F1512B" w:rsidRDefault="00F1512B">
      <w:pPr>
        <w:pStyle w:val="BodyText"/>
        <w:spacing w:before="11"/>
        <w:rPr>
          <w:b/>
        </w:rPr>
      </w:pPr>
    </w:p>
    <w:p w14:paraId="04F4E1A3" w14:textId="77777777" w:rsidR="00F1512B" w:rsidRDefault="00616B30">
      <w:pPr>
        <w:pStyle w:val="BodyText"/>
        <w:spacing w:line="242" w:lineRule="auto"/>
        <w:ind w:left="676" w:right="694"/>
        <w:jc w:val="both"/>
      </w:pPr>
      <w:r>
        <w:rPr>
          <w:b/>
        </w:rPr>
        <w:t>КАТО ВЗЕ ПРЕДВИД</w:t>
      </w:r>
      <w:r>
        <w:t xml:space="preserve"> член 5б) от Конвенцията за Организацията за икономическо сътрудничество и развитие от 14 декември 1960 г.;</w:t>
      </w:r>
    </w:p>
    <w:p w14:paraId="04F4E1A4" w14:textId="77777777" w:rsidR="00F1512B" w:rsidRDefault="00F1512B">
      <w:pPr>
        <w:pStyle w:val="BodyText"/>
        <w:spacing w:before="6"/>
      </w:pPr>
    </w:p>
    <w:p w14:paraId="04F4E1A5" w14:textId="77777777" w:rsidR="00F1512B" w:rsidRDefault="00616B30">
      <w:pPr>
        <w:pStyle w:val="BodyText"/>
        <w:spacing w:line="242" w:lineRule="auto"/>
        <w:ind w:left="676" w:right="699"/>
        <w:jc w:val="both"/>
      </w:pPr>
      <w:r>
        <w:rPr>
          <w:b/>
        </w:rPr>
        <w:t>КАТО ВЗЕ ПРЕДВИД</w:t>
      </w:r>
      <w:r>
        <w:t xml:space="preserve"> Препоръката на Съвета от 8 май 1979 г. относно докладването за състоянието на околната среда [C(79)114];</w:t>
      </w:r>
    </w:p>
    <w:p w14:paraId="04F4E1A6" w14:textId="77777777" w:rsidR="00F1512B" w:rsidRDefault="00F1512B">
      <w:pPr>
        <w:pStyle w:val="BodyText"/>
        <w:spacing w:before="4"/>
      </w:pPr>
    </w:p>
    <w:p w14:paraId="04F4E1A7" w14:textId="77777777" w:rsidR="00F1512B" w:rsidRDefault="00616B30">
      <w:pPr>
        <w:pStyle w:val="BodyText"/>
        <w:spacing w:line="242" w:lineRule="auto"/>
        <w:ind w:left="676" w:right="694"/>
        <w:jc w:val="both"/>
      </w:pPr>
      <w:r>
        <w:rPr>
          <w:b/>
        </w:rPr>
        <w:t>КАТО ВЗЕ ПРЕДВИД</w:t>
      </w:r>
      <w:r>
        <w:t xml:space="preserve"> Препоръката на Съвета от 31 януари 1991 г. относно показателите и информацията за околната среда [C(90)165/ FINAL];</w:t>
      </w:r>
    </w:p>
    <w:p w14:paraId="04F4E1A8" w14:textId="77777777" w:rsidR="00F1512B" w:rsidRDefault="00F1512B">
      <w:pPr>
        <w:pStyle w:val="BodyText"/>
        <w:spacing w:before="6"/>
      </w:pPr>
    </w:p>
    <w:p w14:paraId="04F4E1A9" w14:textId="77777777" w:rsidR="00F1512B" w:rsidRDefault="00616B30">
      <w:pPr>
        <w:pStyle w:val="BodyText"/>
        <w:spacing w:line="242" w:lineRule="auto"/>
        <w:ind w:left="676" w:right="696"/>
        <w:jc w:val="both"/>
      </w:pPr>
      <w:r>
        <w:rPr>
          <w:b/>
        </w:rPr>
        <w:t>КАТО ВЗЕ ПРЕДВИД</w:t>
      </w:r>
      <w:r>
        <w:t xml:space="preserve"> Препоръката на Съвета от 20 февруари 1996 г. относно въвеждането на регистри за изпускане и пренос на замърсители [C(96)41/FINAL], изменена на 28 май 2003 г. [C(2003)87];</w:t>
      </w:r>
    </w:p>
    <w:p w14:paraId="04F4E1AA" w14:textId="77777777" w:rsidR="00F1512B" w:rsidRDefault="00F1512B">
      <w:pPr>
        <w:pStyle w:val="BodyText"/>
        <w:spacing w:before="6"/>
      </w:pPr>
    </w:p>
    <w:p w14:paraId="04F4E1AB" w14:textId="77777777" w:rsidR="00F1512B" w:rsidRDefault="00616B30">
      <w:pPr>
        <w:pStyle w:val="BodyText"/>
        <w:spacing w:before="1" w:line="242" w:lineRule="auto"/>
        <w:ind w:left="676" w:right="695"/>
        <w:jc w:val="both"/>
      </w:pPr>
      <w:r>
        <w:rPr>
          <w:b/>
        </w:rPr>
        <w:t>КАТО ВЗЕ ПРЕДВИД</w:t>
      </w:r>
      <w:r>
        <w:t xml:space="preserve"> Препоръката на Съвета от 3 април 1998 г. относно информацията за околната среда [C(98)67/FINAL];</w:t>
      </w:r>
    </w:p>
    <w:p w14:paraId="04F4E1AC" w14:textId="77777777" w:rsidR="00F1512B" w:rsidRDefault="00F1512B">
      <w:pPr>
        <w:pStyle w:val="BodyText"/>
        <w:spacing w:before="4"/>
      </w:pPr>
    </w:p>
    <w:p w14:paraId="04F4E1AD" w14:textId="77777777" w:rsidR="00F1512B" w:rsidRDefault="00616B30">
      <w:pPr>
        <w:pStyle w:val="BodyText"/>
        <w:ind w:left="676" w:right="693"/>
        <w:jc w:val="both"/>
      </w:pPr>
      <w:r>
        <w:rPr>
          <w:b/>
        </w:rPr>
        <w:t>КАТО ВЗЕ ПРЕДВИД</w:t>
      </w:r>
      <w:r>
        <w:t xml:space="preserve"> комюникето на заседанието на Съвета на ОИСР на министерско ниво от 17 май 2001 г., в което се посочва, че „страните от ОИСР носят специална отговорност за лидерство в устойчивото развитие в световен мащаб, исторически и поради тежестта, която продължават да имат в глобалната икономика и околната среда" и което призова ОИСР “да продължи да подпомага правителствата чрез: разработване на договорени показатели, които измерват напредъка във всичките три измерения на устойчивото развитие, включително отделяне на икономическия растеж от влошаването на околната среда";</w:t>
      </w:r>
    </w:p>
    <w:p w14:paraId="04F4E1AE" w14:textId="77777777" w:rsidR="00F1512B" w:rsidRDefault="00F1512B">
      <w:pPr>
        <w:pStyle w:val="BodyText"/>
        <w:spacing w:before="10"/>
      </w:pPr>
    </w:p>
    <w:p w14:paraId="04F4E1AF" w14:textId="77777777" w:rsidR="00F1512B" w:rsidRDefault="00616B30">
      <w:pPr>
        <w:pStyle w:val="BodyText"/>
        <w:spacing w:line="242" w:lineRule="auto"/>
        <w:ind w:left="676" w:right="700"/>
        <w:jc w:val="both"/>
      </w:pPr>
      <w:r>
        <w:rPr>
          <w:b/>
        </w:rPr>
        <w:t>КАТО ВЗЕ ПРЕДВИД</w:t>
      </w:r>
      <w:r>
        <w:t xml:space="preserve"> Стратегията за околната среда на ОИСР за първото десетилетие на 21-ви век, одобрена от заседанието на Съвета на министрите през май 2001 г.;</w:t>
      </w:r>
    </w:p>
    <w:p w14:paraId="04F4E1B0" w14:textId="77777777" w:rsidR="00F1512B" w:rsidRDefault="00F1512B">
      <w:pPr>
        <w:pStyle w:val="BodyText"/>
        <w:spacing w:before="6"/>
      </w:pPr>
    </w:p>
    <w:p w14:paraId="04F4E1B1" w14:textId="77777777" w:rsidR="00F1512B" w:rsidRDefault="00616B30">
      <w:pPr>
        <w:pStyle w:val="BodyText"/>
        <w:spacing w:line="242" w:lineRule="auto"/>
        <w:ind w:left="676" w:right="697"/>
        <w:jc w:val="both"/>
      </w:pPr>
      <w:r>
        <w:rPr>
          <w:b/>
        </w:rPr>
        <w:t>КАТО ОТБЕЛЯЗА</w:t>
      </w:r>
      <w:r>
        <w:t xml:space="preserve"> международната работа по интегрираното екологично и икономическо счетоводство (обикновено наричано SEEA);</w:t>
      </w:r>
    </w:p>
    <w:p w14:paraId="04F4E1B2" w14:textId="77777777" w:rsidR="00F1512B" w:rsidRDefault="00F1512B">
      <w:pPr>
        <w:pStyle w:val="BodyText"/>
        <w:spacing w:before="6"/>
      </w:pPr>
    </w:p>
    <w:p w14:paraId="04F4E1B3" w14:textId="77777777" w:rsidR="00F1512B" w:rsidRDefault="00616B30">
      <w:pPr>
        <w:pStyle w:val="BodyText"/>
        <w:spacing w:before="1" w:line="242" w:lineRule="auto"/>
        <w:ind w:left="676" w:right="705"/>
        <w:jc w:val="both"/>
      </w:pPr>
      <w:r>
        <w:rPr>
          <w:b/>
        </w:rPr>
        <w:t>КАТО ОТЧЕТЕ</w:t>
      </w:r>
      <w:r>
        <w:t xml:space="preserve"> необходимостта от по-добра информация, предназначена да интегрира по-пълно вземането на решения за околната среда и икономиката;</w:t>
      </w:r>
    </w:p>
    <w:p w14:paraId="04F4E1B4" w14:textId="77777777" w:rsidR="00F1512B" w:rsidRDefault="00F1512B">
      <w:pPr>
        <w:pStyle w:val="BodyText"/>
        <w:spacing w:before="4"/>
      </w:pPr>
    </w:p>
    <w:p w14:paraId="04F4E1B5" w14:textId="77777777" w:rsidR="00F1512B" w:rsidRDefault="00616B30">
      <w:pPr>
        <w:pStyle w:val="BodyText"/>
        <w:ind w:left="676" w:right="696"/>
        <w:jc w:val="both"/>
      </w:pPr>
      <w:r>
        <w:rPr>
          <w:b/>
          <w:bCs/>
        </w:rPr>
        <w:t>КАТО СЕ УБЕДИ</w:t>
      </w:r>
      <w:r>
        <w:t xml:space="preserve"> в необходимостта от засилени усилия от страна на страните-членки на ОИСР за установяване и използване на индикатори за напредък по отношение на прилагането на национални и местни политики в областта на околната среда, екологичната ефективност и устойчивото развитие; и систематично сравняване на постигнатите резултати със съответните цели на политиките в областта на околната среда и, когато е подходящо, свързаните международни ангажименти;</w:t>
      </w:r>
    </w:p>
    <w:p w14:paraId="04F4E1B6" w14:textId="77777777" w:rsidR="00F1512B" w:rsidRDefault="00F1512B">
      <w:pPr>
        <w:pStyle w:val="BodyText"/>
        <w:spacing w:before="9"/>
      </w:pPr>
    </w:p>
    <w:p w14:paraId="04F4E1B7" w14:textId="77777777" w:rsidR="00F1512B" w:rsidRDefault="00616B30">
      <w:pPr>
        <w:pStyle w:val="BodyText"/>
        <w:spacing w:before="1" w:line="242" w:lineRule="auto"/>
        <w:ind w:left="676" w:right="704"/>
        <w:jc w:val="both"/>
      </w:pPr>
      <w:r>
        <w:rPr>
          <w:b/>
        </w:rPr>
        <w:t>КАТО ВЗЕ ПРЕДВИД</w:t>
      </w:r>
      <w:r>
        <w:t xml:space="preserve"> тясното сътрудничество по въпросите на околната среда между ОИСР и други международни организации;</w:t>
      </w:r>
    </w:p>
    <w:p w14:paraId="04F4E1B8" w14:textId="77777777" w:rsidR="00F1512B" w:rsidRDefault="00F1512B">
      <w:pPr>
        <w:pStyle w:val="BodyText"/>
        <w:spacing w:before="6"/>
      </w:pPr>
    </w:p>
    <w:p w14:paraId="04F4E1B9" w14:textId="77777777" w:rsidR="00F1512B" w:rsidRDefault="00616B30">
      <w:pPr>
        <w:pStyle w:val="Heading2"/>
      </w:pPr>
      <w:r>
        <w:t>По предложение на Комитета по екологична политика (EPOC):</w:t>
      </w:r>
    </w:p>
    <w:p w14:paraId="04F4E1BA" w14:textId="77777777" w:rsidR="00F1512B" w:rsidRDefault="00F1512B">
      <w:pPr>
        <w:pStyle w:val="BodyText"/>
        <w:spacing w:before="10"/>
        <w:rPr>
          <w:b/>
        </w:rPr>
      </w:pPr>
    </w:p>
    <w:p w14:paraId="04F4E1BB" w14:textId="77777777" w:rsidR="00F1512B" w:rsidRDefault="00616B30">
      <w:pPr>
        <w:pStyle w:val="ListParagraph"/>
        <w:numPr>
          <w:ilvl w:val="0"/>
          <w:numId w:val="2"/>
        </w:numPr>
        <w:tabs>
          <w:tab w:val="left" w:pos="1396"/>
          <w:tab w:val="left" w:pos="1397"/>
        </w:tabs>
        <w:ind w:right="0" w:hanging="721"/>
        <w:jc w:val="both"/>
        <w:rPr>
          <w:sz w:val="20"/>
        </w:rPr>
      </w:pPr>
      <w:r>
        <w:rPr>
          <w:b/>
          <w:sz w:val="20"/>
        </w:rPr>
        <w:t xml:space="preserve">ПРЕПОРЪЧВА </w:t>
      </w:r>
      <w:r>
        <w:rPr>
          <w:sz w:val="20"/>
        </w:rPr>
        <w:t>на страните-членки:</w:t>
      </w:r>
    </w:p>
    <w:p w14:paraId="04F4E1BC" w14:textId="77777777" w:rsidR="00F1512B" w:rsidRDefault="00F1512B">
      <w:pPr>
        <w:pStyle w:val="BodyText"/>
        <w:spacing w:before="1"/>
        <w:rPr>
          <w:sz w:val="21"/>
        </w:rPr>
      </w:pPr>
    </w:p>
    <w:p w14:paraId="04F4E1BD" w14:textId="77777777" w:rsidR="00F1512B" w:rsidRDefault="00616B30">
      <w:pPr>
        <w:pStyle w:val="ListParagraph"/>
        <w:numPr>
          <w:ilvl w:val="1"/>
          <w:numId w:val="2"/>
        </w:numPr>
        <w:tabs>
          <w:tab w:val="left" w:pos="1397"/>
        </w:tabs>
        <w:spacing w:before="1"/>
        <w:ind w:firstLine="0"/>
        <w:jc w:val="both"/>
        <w:rPr>
          <w:sz w:val="20"/>
        </w:rPr>
      </w:pPr>
      <w:r>
        <w:rPr>
          <w:sz w:val="20"/>
        </w:rPr>
        <w:t>Да предприемат стъпки за подобряване на информацията за материалните потоци, включително нейното качество и значение за управлението на околната среда, по-специално:</w:t>
      </w:r>
    </w:p>
    <w:p w14:paraId="04F4E1BE" w14:textId="77777777" w:rsidR="00F1512B" w:rsidRDefault="00F1512B">
      <w:pPr>
        <w:pStyle w:val="BodyText"/>
        <w:spacing w:before="7"/>
      </w:pPr>
    </w:p>
    <w:p w14:paraId="04F4E1BF" w14:textId="77777777" w:rsidR="00F1512B" w:rsidRDefault="00616B30">
      <w:pPr>
        <w:pStyle w:val="ListParagraph"/>
        <w:numPr>
          <w:ilvl w:val="2"/>
          <w:numId w:val="2"/>
        </w:numPr>
        <w:tabs>
          <w:tab w:val="left" w:pos="1389"/>
          <w:tab w:val="left" w:pos="1390"/>
        </w:tabs>
        <w:ind w:right="0"/>
        <w:jc w:val="left"/>
        <w:rPr>
          <w:sz w:val="20"/>
        </w:rPr>
      </w:pPr>
      <w:r>
        <w:rPr>
          <w:sz w:val="20"/>
        </w:rPr>
        <w:t>Разработване на методологии за подобряване на познанията за материалните потоци във и между страните;</w:t>
      </w:r>
    </w:p>
    <w:p w14:paraId="04F4E1C0" w14:textId="77777777" w:rsidR="00F1512B" w:rsidRDefault="00616B30">
      <w:pPr>
        <w:pStyle w:val="ListParagraph"/>
        <w:numPr>
          <w:ilvl w:val="2"/>
          <w:numId w:val="2"/>
        </w:numPr>
        <w:tabs>
          <w:tab w:val="left" w:pos="1389"/>
          <w:tab w:val="left" w:pos="1390"/>
        </w:tabs>
        <w:spacing w:before="120"/>
        <w:jc w:val="left"/>
        <w:rPr>
          <w:sz w:val="20"/>
        </w:rPr>
      </w:pPr>
      <w:r>
        <w:rPr>
          <w:sz w:val="20"/>
        </w:rPr>
        <w:t>Консолидиране и подобряване на събирането на данни относно материалните потоци във и между страните;</w:t>
      </w:r>
    </w:p>
    <w:p w14:paraId="04F4E1C1" w14:textId="77777777" w:rsidR="00F1512B" w:rsidRDefault="00616B30">
      <w:pPr>
        <w:pStyle w:val="ListParagraph"/>
        <w:numPr>
          <w:ilvl w:val="2"/>
          <w:numId w:val="2"/>
        </w:numPr>
        <w:tabs>
          <w:tab w:val="left" w:pos="1389"/>
          <w:tab w:val="left" w:pos="1390"/>
        </w:tabs>
        <w:spacing w:before="118"/>
        <w:ind w:right="699"/>
        <w:jc w:val="left"/>
        <w:rPr>
          <w:sz w:val="20"/>
        </w:rPr>
      </w:pPr>
      <w:r>
        <w:rPr>
          <w:sz w:val="20"/>
        </w:rPr>
        <w:t>Разработване на инструменти за измерване на производителността на ресурсите и материалните потоци в цялата икономика, включително подходящи методи за оценка, сметки и показатели;</w:t>
      </w:r>
    </w:p>
    <w:p w14:paraId="04F4E1C2" w14:textId="77777777" w:rsidR="00F1512B" w:rsidRDefault="00F1512B">
      <w:pPr>
        <w:pStyle w:val="BodyText"/>
        <w:spacing w:before="9"/>
      </w:pPr>
    </w:p>
    <w:p w14:paraId="04F4E1C3" w14:textId="77777777" w:rsidR="00F1512B" w:rsidRDefault="00616B30">
      <w:pPr>
        <w:pStyle w:val="ListParagraph"/>
        <w:numPr>
          <w:ilvl w:val="1"/>
          <w:numId w:val="2"/>
        </w:numPr>
        <w:tabs>
          <w:tab w:val="left" w:pos="1397"/>
        </w:tabs>
        <w:ind w:right="695" w:firstLine="0"/>
        <w:jc w:val="both"/>
        <w:rPr>
          <w:sz w:val="20"/>
        </w:rPr>
      </w:pPr>
      <w:r>
        <w:rPr>
          <w:sz w:val="20"/>
        </w:rPr>
        <w:t>Да разработят допълнително и използват показатели за по-добро интегриране на вземането на екологични и икономически решения и за измерване на екологичната ефективност по отношение на устойчивостта на използването на материални ресурси;</w:t>
      </w:r>
    </w:p>
    <w:p w14:paraId="04F4E1C4" w14:textId="77777777" w:rsidR="00F1512B" w:rsidRDefault="00F1512B">
      <w:pPr>
        <w:jc w:val="both"/>
        <w:rPr>
          <w:sz w:val="20"/>
        </w:rPr>
        <w:sectPr w:rsidR="00F1512B">
          <w:pgSz w:w="11910" w:h="16840"/>
          <w:pgMar w:top="760" w:right="720" w:bottom="280" w:left="740" w:header="720" w:footer="720" w:gutter="0"/>
          <w:cols w:space="720"/>
        </w:sectPr>
      </w:pPr>
    </w:p>
    <w:p w14:paraId="04F4E1C5" w14:textId="5387DB7C" w:rsidR="00F1512B" w:rsidRDefault="00616B30">
      <w:pPr>
        <w:pStyle w:val="BodyText"/>
        <w:tabs>
          <w:tab w:val="left" w:pos="2288"/>
        </w:tabs>
        <w:spacing w:before="69"/>
        <w:ind w:right="102"/>
        <w:jc w:val="right"/>
      </w:pPr>
      <w:r>
        <w:rPr>
          <w:color w:val="2B2A29"/>
        </w:rPr>
        <w:lastRenderedPageBreak/>
        <w:t>OEC</w:t>
      </w:r>
      <w:r>
        <w:rPr>
          <w:color w:val="2B2A29"/>
          <w:u w:val="single" w:color="2A2928"/>
        </w:rPr>
        <w:t>D/</w:t>
      </w:r>
      <w:r>
        <w:rPr>
          <w:color w:val="2B2A29"/>
        </w:rPr>
        <w:t>L</w:t>
      </w:r>
      <w:r>
        <w:rPr>
          <w:color w:val="2B2A29"/>
          <w:u w:val="single" w:color="2A2928"/>
        </w:rPr>
        <w:t>EG</w:t>
      </w:r>
      <w:r>
        <w:rPr>
          <w:color w:val="2B2A29"/>
        </w:rPr>
        <w:t>AL/0324</w:t>
      </w:r>
      <w:r>
        <w:rPr>
          <w:rFonts w:ascii="Times New Roman"/>
          <w:color w:val="2B2A29"/>
          <w:u w:val="single" w:color="2A2928"/>
        </w:rPr>
        <w:t xml:space="preserve"> </w:t>
      </w:r>
      <w:r>
        <w:rPr>
          <w:rFonts w:ascii="Times New Roman"/>
          <w:color w:val="2B2A29"/>
          <w:u w:val="single" w:color="2A2928"/>
        </w:rPr>
        <w:tab/>
      </w:r>
      <w:r>
        <w:rPr>
          <w:b/>
          <w:i/>
          <w:color w:val="2B2A29"/>
        </w:rPr>
        <w:t>5</w:t>
      </w:r>
    </w:p>
    <w:p w14:paraId="04F4E1C6" w14:textId="77777777" w:rsidR="00F1512B" w:rsidRDefault="00EA7193">
      <w:pPr>
        <w:pStyle w:val="BodyText"/>
        <w:spacing w:line="20" w:lineRule="exact"/>
        <w:ind w:left="103"/>
        <w:rPr>
          <w:sz w:val="2"/>
        </w:rPr>
      </w:pPr>
      <w:r>
        <w:rPr>
          <w:sz w:val="2"/>
        </w:rPr>
      </w:r>
      <w:r>
        <w:rPr>
          <w:sz w:val="2"/>
        </w:rPr>
        <w:pict w14:anchorId="04F4E1F8">
          <v:group id="_x0000_s1026" style="width:396.1pt;height:.65pt;mso-position-horizontal-relative:char;mso-position-vertical-relative:line" coordsize="7922,13">
            <v:line id="_x0000_s1027" style="position:absolute" from="0,6" to="7921,6" strokecolor="#2a2928" strokeweight=".63pt"/>
            <w10:anchorlock/>
          </v:group>
        </w:pict>
      </w:r>
    </w:p>
    <w:p w14:paraId="04F4E1C7" w14:textId="77777777" w:rsidR="00F1512B" w:rsidRDefault="00F1512B">
      <w:pPr>
        <w:pStyle w:val="BodyText"/>
        <w:spacing w:before="3"/>
        <w:rPr>
          <w:sz w:val="15"/>
        </w:rPr>
      </w:pPr>
    </w:p>
    <w:p w14:paraId="04F4E1C8" w14:textId="77777777" w:rsidR="00F1512B" w:rsidRDefault="00616B30">
      <w:pPr>
        <w:pStyle w:val="ListParagraph"/>
        <w:numPr>
          <w:ilvl w:val="1"/>
          <w:numId w:val="2"/>
        </w:numPr>
        <w:tabs>
          <w:tab w:val="left" w:pos="1397"/>
        </w:tabs>
        <w:spacing w:before="92"/>
        <w:ind w:right="701" w:firstLine="0"/>
        <w:jc w:val="both"/>
        <w:rPr>
          <w:sz w:val="20"/>
        </w:rPr>
      </w:pPr>
      <w:r>
        <w:rPr>
          <w:sz w:val="20"/>
        </w:rPr>
        <w:t>Да насърчават разработването и използването на анализ на материалния поток и извлечени индикатори на макро и микро нива;</w:t>
      </w:r>
    </w:p>
    <w:p w14:paraId="04F4E1C9" w14:textId="77777777" w:rsidR="00F1512B" w:rsidRDefault="00F1512B">
      <w:pPr>
        <w:pStyle w:val="BodyText"/>
        <w:rPr>
          <w:sz w:val="21"/>
        </w:rPr>
      </w:pPr>
    </w:p>
    <w:p w14:paraId="04F4E1CA" w14:textId="77777777" w:rsidR="00F1512B" w:rsidRDefault="00616B30">
      <w:pPr>
        <w:pStyle w:val="ListParagraph"/>
        <w:numPr>
          <w:ilvl w:val="1"/>
          <w:numId w:val="2"/>
        </w:numPr>
        <w:tabs>
          <w:tab w:val="left" w:pos="1397"/>
        </w:tabs>
        <w:ind w:right="696" w:firstLine="0"/>
        <w:jc w:val="both"/>
        <w:rPr>
          <w:sz w:val="20"/>
        </w:rPr>
      </w:pPr>
      <w:r>
        <w:rPr>
          <w:sz w:val="20"/>
        </w:rPr>
        <w:t>Да свържат информацията, свързана с околната среда и икономиката, чрез работа върху материалните потоци, запасите и потоците от природни ресурси, разходите за опазване на околната среда и макроикономическите аспекти на екологичните политики;</w:t>
      </w:r>
    </w:p>
    <w:p w14:paraId="04F4E1CB" w14:textId="77777777" w:rsidR="00F1512B" w:rsidRDefault="00F1512B">
      <w:pPr>
        <w:pStyle w:val="BodyText"/>
        <w:spacing w:before="9"/>
      </w:pPr>
    </w:p>
    <w:p w14:paraId="04F4E1CC" w14:textId="77777777" w:rsidR="00F1512B" w:rsidRDefault="00616B30">
      <w:pPr>
        <w:pStyle w:val="ListParagraph"/>
        <w:numPr>
          <w:ilvl w:val="1"/>
          <w:numId w:val="2"/>
        </w:numPr>
        <w:tabs>
          <w:tab w:val="left" w:pos="1397"/>
        </w:tabs>
        <w:ind w:right="704" w:firstLine="0"/>
        <w:jc w:val="both"/>
        <w:rPr>
          <w:sz w:val="20"/>
        </w:rPr>
      </w:pPr>
      <w:r>
        <w:rPr>
          <w:sz w:val="20"/>
        </w:rPr>
        <w:t>Да си сътрудничат за разработване на общи методологии и системи за измерване на материалните потоци, с акцент върху областите, в които могат да бъдат дефинирани сравними и приложими показатели, черпейки от вече извършена работа на национално и международно ниво.</w:t>
      </w:r>
    </w:p>
    <w:p w14:paraId="04F4E1CD" w14:textId="77777777" w:rsidR="00F1512B" w:rsidRDefault="00F1512B">
      <w:pPr>
        <w:pStyle w:val="BodyText"/>
        <w:spacing w:before="9"/>
      </w:pPr>
    </w:p>
    <w:p w14:paraId="04F4E1CE" w14:textId="77777777" w:rsidR="00F1512B" w:rsidRDefault="00616B30">
      <w:pPr>
        <w:pStyle w:val="ListParagraph"/>
        <w:numPr>
          <w:ilvl w:val="0"/>
          <w:numId w:val="2"/>
        </w:numPr>
        <w:tabs>
          <w:tab w:val="left" w:pos="1397"/>
        </w:tabs>
        <w:ind w:right="0" w:hanging="721"/>
        <w:jc w:val="both"/>
        <w:rPr>
          <w:sz w:val="20"/>
        </w:rPr>
      </w:pPr>
      <w:r>
        <w:rPr>
          <w:b/>
          <w:bCs/>
          <w:sz w:val="20"/>
        </w:rPr>
        <w:t>УКАЗВА</w:t>
      </w:r>
      <w:r>
        <w:rPr>
          <w:sz w:val="20"/>
        </w:rPr>
        <w:t xml:space="preserve"> на Комитета по екологична политика:</w:t>
      </w:r>
    </w:p>
    <w:p w14:paraId="04F4E1CF" w14:textId="77777777" w:rsidR="00F1512B" w:rsidRDefault="00F1512B">
      <w:pPr>
        <w:pStyle w:val="BodyText"/>
        <w:spacing w:before="1"/>
        <w:rPr>
          <w:sz w:val="21"/>
        </w:rPr>
      </w:pPr>
    </w:p>
    <w:p w14:paraId="04F4E1D0" w14:textId="77777777" w:rsidR="00F1512B" w:rsidRDefault="00616B30">
      <w:pPr>
        <w:pStyle w:val="ListParagraph"/>
        <w:numPr>
          <w:ilvl w:val="1"/>
          <w:numId w:val="2"/>
        </w:numPr>
        <w:tabs>
          <w:tab w:val="left" w:pos="1397"/>
        </w:tabs>
        <w:ind w:right="705" w:firstLine="0"/>
        <w:jc w:val="both"/>
        <w:rPr>
          <w:sz w:val="20"/>
        </w:rPr>
      </w:pPr>
      <w:r>
        <w:rPr>
          <w:sz w:val="20"/>
        </w:rPr>
        <w:t>Да подкрепя и улеснява усилията на страните-членки да подобрят информацията относно материалните потоци и свързаните с тях показатели, включително чрез обмен на информация за национален и международен новаторски опит;</w:t>
      </w:r>
    </w:p>
    <w:p w14:paraId="04F4E1D1" w14:textId="77777777" w:rsidR="00F1512B" w:rsidRDefault="00F1512B">
      <w:pPr>
        <w:pStyle w:val="BodyText"/>
        <w:spacing w:before="10"/>
      </w:pPr>
    </w:p>
    <w:p w14:paraId="04F4E1D2" w14:textId="77777777" w:rsidR="00F1512B" w:rsidRDefault="00616B30">
      <w:pPr>
        <w:pStyle w:val="ListParagraph"/>
        <w:numPr>
          <w:ilvl w:val="1"/>
          <w:numId w:val="2"/>
        </w:numPr>
        <w:tabs>
          <w:tab w:val="left" w:pos="1397"/>
        </w:tabs>
        <w:ind w:right="700" w:firstLine="0"/>
        <w:jc w:val="both"/>
        <w:rPr>
          <w:sz w:val="20"/>
        </w:rPr>
      </w:pPr>
      <w:r>
        <w:rPr>
          <w:sz w:val="20"/>
        </w:rPr>
        <w:t>Да продължи усилията за подобряване на методите и индикаторите за оценка на ефективността на използване на материалните ресурси във важни области;</w:t>
      </w:r>
    </w:p>
    <w:p w14:paraId="04F4E1D3" w14:textId="77777777" w:rsidR="00F1512B" w:rsidRDefault="00F1512B">
      <w:pPr>
        <w:pStyle w:val="BodyText"/>
        <w:spacing w:before="10"/>
      </w:pPr>
    </w:p>
    <w:p w14:paraId="04F4E1D4" w14:textId="77777777" w:rsidR="00F1512B" w:rsidRDefault="00616B30">
      <w:pPr>
        <w:pStyle w:val="ListParagraph"/>
        <w:numPr>
          <w:ilvl w:val="1"/>
          <w:numId w:val="2"/>
        </w:numPr>
        <w:tabs>
          <w:tab w:val="left" w:pos="1397"/>
        </w:tabs>
        <w:spacing w:before="1"/>
        <w:ind w:right="703" w:firstLine="0"/>
        <w:jc w:val="both"/>
        <w:rPr>
          <w:sz w:val="20"/>
        </w:rPr>
      </w:pPr>
      <w:r>
        <w:rPr>
          <w:sz w:val="20"/>
        </w:rPr>
        <w:t>Да разработи документ с насоки за подпомагане на страните-членки при прилагането и използването на общи сметки за материални потоци;</w:t>
      </w:r>
    </w:p>
    <w:p w14:paraId="04F4E1D5" w14:textId="77777777" w:rsidR="00F1512B" w:rsidRDefault="00F1512B">
      <w:pPr>
        <w:pStyle w:val="BodyText"/>
        <w:spacing w:before="8"/>
      </w:pPr>
    </w:p>
    <w:p w14:paraId="04F4E1D6" w14:textId="77777777" w:rsidR="00F1512B" w:rsidRDefault="00616B30">
      <w:pPr>
        <w:pStyle w:val="ListParagraph"/>
        <w:numPr>
          <w:ilvl w:val="1"/>
          <w:numId w:val="2"/>
        </w:numPr>
        <w:tabs>
          <w:tab w:val="left" w:pos="1397"/>
        </w:tabs>
        <w:ind w:firstLine="0"/>
        <w:jc w:val="both"/>
        <w:rPr>
          <w:sz w:val="20"/>
        </w:rPr>
      </w:pPr>
      <w:r>
        <w:rPr>
          <w:sz w:val="20"/>
        </w:rPr>
        <w:t>Да изпълнява тези задачи в сътрудничество с други подходящи органи на ОИСР и други международни организации за предотвратяване на дублиране и намаляване на разходите;</w:t>
      </w:r>
    </w:p>
    <w:p w14:paraId="04F4E1D7" w14:textId="77777777" w:rsidR="00F1512B" w:rsidRDefault="00F1512B">
      <w:pPr>
        <w:pStyle w:val="BodyText"/>
        <w:spacing w:before="11"/>
      </w:pPr>
    </w:p>
    <w:p w14:paraId="04F4E1D8" w14:textId="77777777" w:rsidR="00F1512B" w:rsidRDefault="00616B30">
      <w:pPr>
        <w:pStyle w:val="ListParagraph"/>
        <w:numPr>
          <w:ilvl w:val="1"/>
          <w:numId w:val="2"/>
        </w:numPr>
        <w:tabs>
          <w:tab w:val="left" w:pos="1397"/>
        </w:tabs>
        <w:ind w:firstLine="0"/>
        <w:jc w:val="both"/>
        <w:rPr>
          <w:sz w:val="20"/>
        </w:rPr>
      </w:pPr>
      <w:r>
        <w:rPr>
          <w:sz w:val="20"/>
        </w:rPr>
        <w:t>Да докладва на Съвета за напредъка, постигнат от страните-членки при прилагането на тази препоръка, в рамките на три години след нейното приемане.</w:t>
      </w:r>
    </w:p>
    <w:p w14:paraId="04F4E1D9" w14:textId="77777777" w:rsidR="00F1512B" w:rsidRDefault="00F1512B">
      <w:pPr>
        <w:jc w:val="both"/>
        <w:rPr>
          <w:sz w:val="20"/>
        </w:rPr>
        <w:sectPr w:rsidR="00F1512B">
          <w:pgSz w:w="11910" w:h="16840"/>
          <w:pgMar w:top="760" w:right="720" w:bottom="280" w:left="740" w:header="720" w:footer="720" w:gutter="0"/>
          <w:cols w:space="720"/>
        </w:sectPr>
      </w:pPr>
    </w:p>
    <w:p w14:paraId="04F4E1DA" w14:textId="77777777" w:rsidR="00F1512B" w:rsidRDefault="00616B30">
      <w:pPr>
        <w:pStyle w:val="Heading1"/>
      </w:pPr>
      <w:bookmarkStart w:id="0" w:name="About_the_OECD"/>
      <w:bookmarkEnd w:id="0"/>
      <w:r>
        <w:rPr>
          <w:color w:val="1F4679"/>
        </w:rPr>
        <w:lastRenderedPageBreak/>
        <w:t>Относно ОИСР</w:t>
      </w:r>
    </w:p>
    <w:p w14:paraId="04F4E1DB" w14:textId="77777777" w:rsidR="00F1512B" w:rsidRDefault="00F1512B">
      <w:pPr>
        <w:pStyle w:val="BodyText"/>
        <w:spacing w:before="5"/>
        <w:rPr>
          <w:b/>
          <w:sz w:val="21"/>
        </w:rPr>
      </w:pPr>
    </w:p>
    <w:p w14:paraId="04F4E1DC" w14:textId="77777777" w:rsidR="00F1512B" w:rsidRDefault="00616B30">
      <w:pPr>
        <w:pStyle w:val="BodyText"/>
        <w:ind w:left="116" w:right="156"/>
        <w:jc w:val="both"/>
      </w:pPr>
      <w:r>
        <w:t>ОИСР е уникален форум, където правителствата работят заедно за справяне с икономическите, социалните и екологичните предизвикателства на глобализацията. ОИСР също е в челните редици на усилията за разбиране и подпомагане на правителствата да отговорят на новите развития и опасения, като корпоративно управление, информационна икономика и предизвикателствата на застаряващото население. Организацията осигурява среда, в която правителствата могат да сравняват политическия опит, да търсят отговори на общи проблеми, да идентифицират добри практики и да работят за координиране на вътрешни и международни политики.</w:t>
      </w:r>
    </w:p>
    <w:p w14:paraId="04F4E1DD" w14:textId="77777777" w:rsidR="00F1512B" w:rsidRDefault="00F1512B">
      <w:pPr>
        <w:pStyle w:val="BodyText"/>
        <w:spacing w:before="10"/>
      </w:pPr>
    </w:p>
    <w:p w14:paraId="04F4E1DE" w14:textId="77777777" w:rsidR="00F1512B" w:rsidRDefault="00616B30">
      <w:pPr>
        <w:pStyle w:val="BodyText"/>
        <w:ind w:left="115" w:right="144" w:hanging="3"/>
        <w:jc w:val="both"/>
      </w:pPr>
      <w:r>
        <w:t>Страните членки на ОИСР са: Австралия, Австрия, Белгия, Канада, Чили, Колумбия, Коста Рика, Чехия, Дания, Естония, Финландия, Франция, Германия, Гърция, Унгария, Исландия, Ирландия, Израел, Италия, Япония, Корея, Латвия, Литва, Люксембург , Мексико, Холандия, Нова Зеландия, Норвегия, Полша, Португалия, Република Словакия, Словения, Испания, Швеция, Швейцария, Турция, Обединеното кралство и Съединените щати. Европейският съюз участва в работата на ОИСР.</w:t>
      </w:r>
    </w:p>
    <w:p w14:paraId="04F4E1DF" w14:textId="77777777" w:rsidR="00F1512B" w:rsidRDefault="00F1512B">
      <w:pPr>
        <w:pStyle w:val="BodyText"/>
        <w:rPr>
          <w:sz w:val="22"/>
        </w:rPr>
      </w:pPr>
    </w:p>
    <w:p w14:paraId="04F4E1E0" w14:textId="77777777" w:rsidR="00F1512B" w:rsidRDefault="00616B30">
      <w:pPr>
        <w:pStyle w:val="Heading1"/>
        <w:spacing w:before="141"/>
      </w:pPr>
      <w:bookmarkStart w:id="1" w:name="OECD_Legal_Instruments"/>
      <w:bookmarkEnd w:id="1"/>
      <w:r>
        <w:rPr>
          <w:color w:val="1F4679"/>
        </w:rPr>
        <w:t>Правни инструменти на ОИСР</w:t>
      </w:r>
    </w:p>
    <w:p w14:paraId="04F4E1E1" w14:textId="77777777" w:rsidR="00F1512B" w:rsidRDefault="00F1512B">
      <w:pPr>
        <w:pStyle w:val="BodyText"/>
        <w:spacing w:before="7"/>
        <w:rPr>
          <w:b/>
          <w:sz w:val="21"/>
        </w:rPr>
      </w:pPr>
    </w:p>
    <w:p w14:paraId="04F4E1E2" w14:textId="77777777" w:rsidR="00F1512B" w:rsidRDefault="00616B30">
      <w:pPr>
        <w:pStyle w:val="BodyText"/>
        <w:ind w:left="116" w:right="150"/>
        <w:jc w:val="both"/>
      </w:pPr>
      <w:r>
        <w:t>От създаването на ОИСР през 1961 г. в рамките на ОИСР са разработени около 460 материалноправни инструмента. Те включват актове на ОИСР (т.е. решения и препоръки, приети от Съвета на ОИСР в съответствие с Конвенцията на ОИСР) и други правни инструменти, разработени в рамките на ОИСР (напр. декларации, международни споразумения).</w:t>
      </w:r>
    </w:p>
    <w:p w14:paraId="04F4E1E3" w14:textId="77777777" w:rsidR="00F1512B" w:rsidRDefault="00F1512B">
      <w:pPr>
        <w:pStyle w:val="BodyText"/>
        <w:spacing w:before="10"/>
      </w:pPr>
    </w:p>
    <w:p w14:paraId="04F4E1E4" w14:textId="77777777" w:rsidR="00F1512B" w:rsidRDefault="00616B30">
      <w:pPr>
        <w:pStyle w:val="BodyText"/>
        <w:ind w:left="113" w:right="150"/>
        <w:jc w:val="both"/>
      </w:pPr>
      <w:r>
        <w:t>Всички съществени правни инструменти на ОИСР, независимо дали са в сила или са отменени, са изброени в онлайн сборника на правните инструменти на ОИСР. Те са представени в пет категории:</w:t>
      </w:r>
    </w:p>
    <w:p w14:paraId="04F4E1E5" w14:textId="77777777" w:rsidR="00F1512B" w:rsidRDefault="00F1512B">
      <w:pPr>
        <w:pStyle w:val="BodyText"/>
        <w:spacing w:before="8"/>
        <w:rPr>
          <w:sz w:val="18"/>
        </w:rPr>
      </w:pPr>
    </w:p>
    <w:p w14:paraId="04F4E1E6" w14:textId="77777777" w:rsidR="00F1512B" w:rsidRDefault="00616B30">
      <w:pPr>
        <w:pStyle w:val="ListParagraph"/>
        <w:numPr>
          <w:ilvl w:val="0"/>
          <w:numId w:val="1"/>
        </w:numPr>
        <w:tabs>
          <w:tab w:val="left" w:pos="853"/>
        </w:tabs>
        <w:spacing w:line="244" w:lineRule="auto"/>
        <w:ind w:right="110"/>
        <w:rPr>
          <w:sz w:val="20"/>
        </w:rPr>
      </w:pPr>
      <w:r>
        <w:rPr>
          <w:b/>
          <w:sz w:val="20"/>
        </w:rPr>
        <w:t>Решенията</w:t>
      </w:r>
      <w:r>
        <w:rPr>
          <w:sz w:val="20"/>
        </w:rPr>
        <w:t xml:space="preserve"> се приемат от Съвета и са правно обвързващи за всички страни-членки с изключение на тези, които се въздържат към момента на приемане. Те определят специфични права и задължения и могат да съдържат механизми за наблюдение.</w:t>
      </w:r>
    </w:p>
    <w:p w14:paraId="04F4E1E7" w14:textId="77777777" w:rsidR="00F1512B" w:rsidRDefault="00616B30">
      <w:pPr>
        <w:pStyle w:val="ListParagraph"/>
        <w:numPr>
          <w:ilvl w:val="0"/>
          <w:numId w:val="1"/>
        </w:numPr>
        <w:tabs>
          <w:tab w:val="left" w:pos="853"/>
        </w:tabs>
        <w:spacing w:before="197" w:line="244" w:lineRule="auto"/>
        <w:ind w:right="105"/>
        <w:rPr>
          <w:sz w:val="20"/>
        </w:rPr>
      </w:pPr>
      <w:r>
        <w:rPr>
          <w:b/>
          <w:sz w:val="20"/>
        </w:rPr>
        <w:t>Препоръките</w:t>
      </w:r>
      <w:r>
        <w:rPr>
          <w:sz w:val="20"/>
        </w:rPr>
        <w:t xml:space="preserve"> се приемат от Съвета и не са правно обвързващи. Те представляват политически ангажимент към принципите, които съдържат, и включват очакване, че присъединилите се държави ще направят всичко възможно, за да ги изпълнят.</w:t>
      </w:r>
    </w:p>
    <w:p w14:paraId="04F4E1E8" w14:textId="77777777" w:rsidR="00F1512B" w:rsidRDefault="00616B30">
      <w:pPr>
        <w:pStyle w:val="ListParagraph"/>
        <w:numPr>
          <w:ilvl w:val="0"/>
          <w:numId w:val="1"/>
        </w:numPr>
        <w:tabs>
          <w:tab w:val="left" w:pos="853"/>
        </w:tabs>
        <w:spacing w:before="197" w:line="244" w:lineRule="auto"/>
        <w:ind w:right="103"/>
        <w:rPr>
          <w:sz w:val="20"/>
        </w:rPr>
      </w:pPr>
      <w:r>
        <w:rPr>
          <w:b/>
          <w:sz w:val="20"/>
        </w:rPr>
        <w:t>Документите за съществени резултати</w:t>
      </w:r>
      <w:r>
        <w:rPr>
          <w:sz w:val="20"/>
        </w:rPr>
        <w:t xml:space="preserve"> се приемат от отделните изброени присъединили се страни, а не от орган на ОИСР, като резултат от среща на министерско, високо ниво или друго в рамките на Организацията. Обикновено те поставят общи принципи или дългосрочни цели и имат тържествен характер.</w:t>
      </w:r>
    </w:p>
    <w:p w14:paraId="04F4E1E9" w14:textId="77777777" w:rsidR="00F1512B" w:rsidRDefault="00616B30">
      <w:pPr>
        <w:pStyle w:val="ListParagraph"/>
        <w:numPr>
          <w:ilvl w:val="0"/>
          <w:numId w:val="1"/>
        </w:numPr>
        <w:tabs>
          <w:tab w:val="left" w:pos="853"/>
        </w:tabs>
        <w:spacing w:before="198" w:line="242" w:lineRule="auto"/>
        <w:ind w:right="114"/>
        <w:rPr>
          <w:sz w:val="20"/>
        </w:rPr>
      </w:pPr>
      <w:r>
        <w:rPr>
          <w:sz w:val="20"/>
        </w:rPr>
        <w:t xml:space="preserve">В рамките на Организацията се договарят и сключват </w:t>
      </w:r>
      <w:r>
        <w:rPr>
          <w:b/>
          <w:sz w:val="20"/>
        </w:rPr>
        <w:t>международни споразумения.</w:t>
      </w:r>
      <w:r>
        <w:rPr>
          <w:sz w:val="20"/>
        </w:rPr>
        <w:t xml:space="preserve"> Те са правно обвързващи за страните.</w:t>
      </w:r>
    </w:p>
    <w:p w14:paraId="04F4E1EA" w14:textId="77777777" w:rsidR="00F1512B" w:rsidRDefault="00F1512B">
      <w:pPr>
        <w:pStyle w:val="BodyText"/>
        <w:spacing w:before="3"/>
        <w:rPr>
          <w:sz w:val="19"/>
        </w:rPr>
      </w:pPr>
    </w:p>
    <w:p w14:paraId="04F4E1EB" w14:textId="77777777" w:rsidR="00F1512B" w:rsidRDefault="00616B30">
      <w:pPr>
        <w:pStyle w:val="ListParagraph"/>
        <w:numPr>
          <w:ilvl w:val="0"/>
          <w:numId w:val="1"/>
        </w:numPr>
        <w:tabs>
          <w:tab w:val="left" w:pos="853"/>
        </w:tabs>
        <w:spacing w:before="1"/>
        <w:ind w:right="108" w:hanging="710"/>
        <w:rPr>
          <w:sz w:val="20"/>
        </w:rPr>
      </w:pPr>
      <w:r>
        <w:rPr>
          <w:b/>
          <w:sz w:val="20"/>
        </w:rPr>
        <w:t>Споразумение, разбирателство и други</w:t>
      </w:r>
      <w:r>
        <w:rPr>
          <w:sz w:val="20"/>
        </w:rPr>
        <w:t>: няколко други типа материалноправни инструменти са разработени в рамките на ОИСР с течение на времето, като споразумението за официално подкрепяни експортни кредити, международното споразумение за принципите на морския транспорт и препоръките на Комитета за подпомагане на развитието (DAC).</w:t>
      </w:r>
    </w:p>
    <w:sectPr w:rsidR="00F1512B">
      <w:pgSz w:w="11940" w:h="16860"/>
      <w:pgMar w:top="1300" w:right="1260" w:bottom="280" w:left="13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Arial Black">
    <w:altName w:val="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1433A9"/>
    <w:multiLevelType w:val="hybridMultilevel"/>
    <w:tmpl w:val="498844BA"/>
    <w:lvl w:ilvl="0" w:tplc="E680426A">
      <w:start w:val="1"/>
      <w:numFmt w:val="upperRoman"/>
      <w:lvlText w:val="%1."/>
      <w:lvlJc w:val="left"/>
      <w:pPr>
        <w:ind w:left="1396" w:hanging="720"/>
        <w:jc w:val="left"/>
      </w:pPr>
      <w:rPr>
        <w:rFonts w:ascii="Arial" w:eastAsia="Arial" w:hAnsi="Arial" w:cs="Arial" w:hint="default"/>
        <w:b/>
        <w:bCs/>
        <w:spacing w:val="-1"/>
        <w:w w:val="99"/>
        <w:sz w:val="20"/>
        <w:szCs w:val="20"/>
        <w:lang w:val="en-US" w:eastAsia="en-US" w:bidi="ar-SA"/>
      </w:rPr>
    </w:lvl>
    <w:lvl w:ilvl="1" w:tplc="60D44190">
      <w:start w:val="1"/>
      <w:numFmt w:val="decimal"/>
      <w:lvlText w:val="%2."/>
      <w:lvlJc w:val="left"/>
      <w:pPr>
        <w:ind w:left="676" w:hanging="720"/>
        <w:jc w:val="left"/>
      </w:pPr>
      <w:rPr>
        <w:rFonts w:ascii="Arial" w:eastAsia="Arial" w:hAnsi="Arial" w:cs="Arial" w:hint="default"/>
        <w:spacing w:val="-1"/>
        <w:w w:val="99"/>
        <w:sz w:val="20"/>
        <w:szCs w:val="20"/>
        <w:lang w:val="en-US" w:eastAsia="en-US" w:bidi="ar-SA"/>
      </w:rPr>
    </w:lvl>
    <w:lvl w:ilvl="2" w:tplc="8592CE62">
      <w:numFmt w:val="bullet"/>
      <w:lvlText w:val=""/>
      <w:lvlJc w:val="left"/>
      <w:pPr>
        <w:ind w:left="1389" w:hanging="356"/>
      </w:pPr>
      <w:rPr>
        <w:rFonts w:ascii="Symbol" w:eastAsia="Symbol" w:hAnsi="Symbol" w:cs="Symbol" w:hint="default"/>
        <w:w w:val="99"/>
        <w:sz w:val="20"/>
        <w:szCs w:val="20"/>
        <w:lang w:val="en-US" w:eastAsia="en-US" w:bidi="ar-SA"/>
      </w:rPr>
    </w:lvl>
    <w:lvl w:ilvl="3" w:tplc="2C8A3488">
      <w:numFmt w:val="bullet"/>
      <w:lvlText w:val="•"/>
      <w:lvlJc w:val="left"/>
      <w:pPr>
        <w:ind w:left="2530" w:hanging="356"/>
      </w:pPr>
      <w:rPr>
        <w:rFonts w:hint="default"/>
        <w:lang w:val="en-US" w:eastAsia="en-US" w:bidi="ar-SA"/>
      </w:rPr>
    </w:lvl>
    <w:lvl w:ilvl="4" w:tplc="9B6E6346">
      <w:numFmt w:val="bullet"/>
      <w:lvlText w:val="•"/>
      <w:lvlJc w:val="left"/>
      <w:pPr>
        <w:ind w:left="3661" w:hanging="356"/>
      </w:pPr>
      <w:rPr>
        <w:rFonts w:hint="default"/>
        <w:lang w:val="en-US" w:eastAsia="en-US" w:bidi="ar-SA"/>
      </w:rPr>
    </w:lvl>
    <w:lvl w:ilvl="5" w:tplc="F63848D8">
      <w:numFmt w:val="bullet"/>
      <w:lvlText w:val="•"/>
      <w:lvlJc w:val="left"/>
      <w:pPr>
        <w:ind w:left="4792" w:hanging="356"/>
      </w:pPr>
      <w:rPr>
        <w:rFonts w:hint="default"/>
        <w:lang w:val="en-US" w:eastAsia="en-US" w:bidi="ar-SA"/>
      </w:rPr>
    </w:lvl>
    <w:lvl w:ilvl="6" w:tplc="11D802EA">
      <w:numFmt w:val="bullet"/>
      <w:lvlText w:val="•"/>
      <w:lvlJc w:val="left"/>
      <w:pPr>
        <w:ind w:left="5923" w:hanging="356"/>
      </w:pPr>
      <w:rPr>
        <w:rFonts w:hint="default"/>
        <w:lang w:val="en-US" w:eastAsia="en-US" w:bidi="ar-SA"/>
      </w:rPr>
    </w:lvl>
    <w:lvl w:ilvl="7" w:tplc="201AFA20">
      <w:numFmt w:val="bullet"/>
      <w:lvlText w:val="•"/>
      <w:lvlJc w:val="left"/>
      <w:pPr>
        <w:ind w:left="7054" w:hanging="356"/>
      </w:pPr>
      <w:rPr>
        <w:rFonts w:hint="default"/>
        <w:lang w:val="en-US" w:eastAsia="en-US" w:bidi="ar-SA"/>
      </w:rPr>
    </w:lvl>
    <w:lvl w:ilvl="8" w:tplc="418E5B1A">
      <w:numFmt w:val="bullet"/>
      <w:lvlText w:val="•"/>
      <w:lvlJc w:val="left"/>
      <w:pPr>
        <w:ind w:left="8184" w:hanging="356"/>
      </w:pPr>
      <w:rPr>
        <w:rFonts w:hint="default"/>
        <w:lang w:val="en-US" w:eastAsia="en-US" w:bidi="ar-SA"/>
      </w:rPr>
    </w:lvl>
  </w:abstractNum>
  <w:abstractNum w:abstractNumId="1" w15:restartNumberingAfterBreak="0">
    <w:nsid w:val="416E61AC"/>
    <w:multiLevelType w:val="hybridMultilevel"/>
    <w:tmpl w:val="AC4213DE"/>
    <w:lvl w:ilvl="0" w:tplc="8B64E53E">
      <w:numFmt w:val="bullet"/>
      <w:lvlText w:val="•"/>
      <w:lvlJc w:val="left"/>
      <w:pPr>
        <w:ind w:left="852" w:hanging="711"/>
      </w:pPr>
      <w:rPr>
        <w:rFonts w:ascii="Verdana" w:eastAsia="Verdana" w:hAnsi="Verdana" w:cs="Verdana" w:hint="default"/>
        <w:w w:val="80"/>
        <w:sz w:val="20"/>
        <w:szCs w:val="20"/>
        <w:lang w:val="en-US" w:eastAsia="en-US" w:bidi="ar-SA"/>
      </w:rPr>
    </w:lvl>
    <w:lvl w:ilvl="1" w:tplc="3932A3BC">
      <w:numFmt w:val="bullet"/>
      <w:lvlText w:val="•"/>
      <w:lvlJc w:val="left"/>
      <w:pPr>
        <w:ind w:left="1712" w:hanging="711"/>
      </w:pPr>
      <w:rPr>
        <w:rFonts w:hint="default"/>
        <w:lang w:val="en-US" w:eastAsia="en-US" w:bidi="ar-SA"/>
      </w:rPr>
    </w:lvl>
    <w:lvl w:ilvl="2" w:tplc="D11E15E0">
      <w:numFmt w:val="bullet"/>
      <w:lvlText w:val="•"/>
      <w:lvlJc w:val="left"/>
      <w:pPr>
        <w:ind w:left="2564" w:hanging="711"/>
      </w:pPr>
      <w:rPr>
        <w:rFonts w:hint="default"/>
        <w:lang w:val="en-US" w:eastAsia="en-US" w:bidi="ar-SA"/>
      </w:rPr>
    </w:lvl>
    <w:lvl w:ilvl="3" w:tplc="81FC3C68">
      <w:numFmt w:val="bullet"/>
      <w:lvlText w:val="•"/>
      <w:lvlJc w:val="left"/>
      <w:pPr>
        <w:ind w:left="3416" w:hanging="711"/>
      </w:pPr>
      <w:rPr>
        <w:rFonts w:hint="default"/>
        <w:lang w:val="en-US" w:eastAsia="en-US" w:bidi="ar-SA"/>
      </w:rPr>
    </w:lvl>
    <w:lvl w:ilvl="4" w:tplc="D7183E5A">
      <w:numFmt w:val="bullet"/>
      <w:lvlText w:val="•"/>
      <w:lvlJc w:val="left"/>
      <w:pPr>
        <w:ind w:left="4268" w:hanging="711"/>
      </w:pPr>
      <w:rPr>
        <w:rFonts w:hint="default"/>
        <w:lang w:val="en-US" w:eastAsia="en-US" w:bidi="ar-SA"/>
      </w:rPr>
    </w:lvl>
    <w:lvl w:ilvl="5" w:tplc="507039E6">
      <w:numFmt w:val="bullet"/>
      <w:lvlText w:val="•"/>
      <w:lvlJc w:val="left"/>
      <w:pPr>
        <w:ind w:left="5120" w:hanging="711"/>
      </w:pPr>
      <w:rPr>
        <w:rFonts w:hint="default"/>
        <w:lang w:val="en-US" w:eastAsia="en-US" w:bidi="ar-SA"/>
      </w:rPr>
    </w:lvl>
    <w:lvl w:ilvl="6" w:tplc="B1C21566">
      <w:numFmt w:val="bullet"/>
      <w:lvlText w:val="•"/>
      <w:lvlJc w:val="left"/>
      <w:pPr>
        <w:ind w:left="5972" w:hanging="711"/>
      </w:pPr>
      <w:rPr>
        <w:rFonts w:hint="default"/>
        <w:lang w:val="en-US" w:eastAsia="en-US" w:bidi="ar-SA"/>
      </w:rPr>
    </w:lvl>
    <w:lvl w:ilvl="7" w:tplc="6F8CA5E8">
      <w:numFmt w:val="bullet"/>
      <w:lvlText w:val="•"/>
      <w:lvlJc w:val="left"/>
      <w:pPr>
        <w:ind w:left="6824" w:hanging="711"/>
      </w:pPr>
      <w:rPr>
        <w:rFonts w:hint="default"/>
        <w:lang w:val="en-US" w:eastAsia="en-US" w:bidi="ar-SA"/>
      </w:rPr>
    </w:lvl>
    <w:lvl w:ilvl="8" w:tplc="3AC4E106">
      <w:numFmt w:val="bullet"/>
      <w:lvlText w:val="•"/>
      <w:lvlJc w:val="left"/>
      <w:pPr>
        <w:ind w:left="7676" w:hanging="711"/>
      </w:pPr>
      <w:rPr>
        <w:rFonts w:hint="default"/>
        <w:lang w:val="en-US" w:eastAsia="en-US" w:bidi="ar-S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characterSpacingControl w:val="doNotCompress"/>
  <w:compat>
    <w:ulTrailSpace/>
    <w:shapeLayoutLikeWW8/>
    <w:useFELayout/>
    <w:compatSetting w:name="compatibilityMode" w:uri="http://schemas.microsoft.com/office/word" w:val="12"/>
    <w:compatSetting w:name="useWord2013TrackBottomHyphenation" w:uri="http://schemas.microsoft.com/office/word" w:val="1"/>
  </w:compat>
  <w:rsids>
    <w:rsidRoot w:val="00F1512B"/>
    <w:rsid w:val="00025360"/>
    <w:rsid w:val="004135B4"/>
    <w:rsid w:val="00557224"/>
    <w:rsid w:val="00616B30"/>
    <w:rsid w:val="0063127C"/>
    <w:rsid w:val="0065174B"/>
    <w:rsid w:val="007F434F"/>
    <w:rsid w:val="00EA7193"/>
    <w:rsid w:val="00F151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14:docId w14:val="04F4E12D"/>
  <w15:docId w15:val="{5B9ED945-3C7D-436A-BDF8-F09A5815E7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73"/>
      <w:ind w:left="116"/>
      <w:jc w:val="both"/>
      <w:outlineLvl w:val="0"/>
    </w:pPr>
    <w:rPr>
      <w:b/>
      <w:bCs/>
      <w:sz w:val="24"/>
      <w:szCs w:val="24"/>
    </w:rPr>
  </w:style>
  <w:style w:type="paragraph" w:styleId="Heading2">
    <w:name w:val="heading 2"/>
    <w:basedOn w:val="Normal"/>
    <w:uiPriority w:val="9"/>
    <w:unhideWhenUsed/>
    <w:qFormat/>
    <w:pPr>
      <w:ind w:left="676"/>
      <w:jc w:val="both"/>
      <w:outlineLvl w:val="1"/>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Title">
    <w:name w:val="Title"/>
    <w:basedOn w:val="Normal"/>
    <w:uiPriority w:val="10"/>
    <w:qFormat/>
    <w:pPr>
      <w:ind w:left="1668" w:hanging="768"/>
    </w:pPr>
    <w:rPr>
      <w:sz w:val="40"/>
      <w:szCs w:val="40"/>
    </w:rPr>
  </w:style>
  <w:style w:type="paragraph" w:styleId="ListParagraph">
    <w:name w:val="List Paragraph"/>
    <w:basedOn w:val="Normal"/>
    <w:uiPriority w:val="1"/>
    <w:qFormat/>
    <w:pPr>
      <w:ind w:left="676" w:right="702"/>
      <w:jc w:val="both"/>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legalinstruments.oecd.org/" TargetMode="External"/><Relationship Id="rId5" Type="http://schemas.openxmlformats.org/officeDocument/2006/relationships/styles" Target="styles.xml"/><Relationship Id="rId10" Type="http://schemas.openxmlformats.org/officeDocument/2006/relationships/hyperlink" Target="http://legalinstruments.oecd.org/" TargetMode="External"/><Relationship Id="rId4" Type="http://schemas.openxmlformats.org/officeDocument/2006/relationships/numbering" Target="numbering.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c2649c6-0f6a-432e-8083-5d1192364e9a">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Документ" ma:contentTypeID="0x010100FE37CB227E4C7849B4B894363CED3B18" ma:contentTypeVersion="12" ma:contentTypeDescription="Създаване на нов документ" ma:contentTypeScope="" ma:versionID="fe7b4f7cbc69a318508ed03415694e09">
  <xsd:schema xmlns:xsd="http://www.w3.org/2001/XMLSchema" xmlns:xs="http://www.w3.org/2001/XMLSchema" xmlns:p="http://schemas.microsoft.com/office/2006/metadata/properties" xmlns:ns2="1c2649c6-0f6a-432e-8083-5d1192364e9a" xmlns:ns3="5adc7b8d-49ae-46df-b2d3-cd95f9860e28" targetNamespace="http://schemas.microsoft.com/office/2006/metadata/properties" ma:root="true" ma:fieldsID="a31f7c45ecc6cfeccb12657c7b0545d3" ns2:_="" ns3:_="">
    <xsd:import namespace="1c2649c6-0f6a-432e-8083-5d1192364e9a"/>
    <xsd:import namespace="5adc7b8d-49ae-46df-b2d3-cd95f9860e2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649c6-0f6a-432e-8083-5d1192364e9a" elementFormDefault="qualified">
    <xsd:import namespace="http://schemas.microsoft.com/office/2006/documentManagement/types"/>
    <xsd:import namespace="http://schemas.microsoft.com/office/infopath/2007/PartnerControls"/>
    <xsd:element name="SharedWithUsers" ma:index="8" nillable="true" ma:displayName="Споделено с"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Споделени с подробности"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dc7b8d-49ae-46df-b2d3-cd95f9860e2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съдържание"/>
        <xsd:element ref="dc:title" minOccurs="0" maxOccurs="1" ma:index="4" ma:displayName="Заглав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A930498-7F0B-46EB-9664-DC15B59EBFF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505FFA1-9B29-45A9-8491-07AA56FAAF17}"/>
</file>

<file path=customXml/itemProps3.xml><?xml version="1.0" encoding="utf-8"?>
<ds:datastoreItem xmlns:ds="http://schemas.openxmlformats.org/officeDocument/2006/customXml" ds:itemID="{03196381-3D63-4077-A25B-DE033880512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6</Pages>
  <Words>1491</Words>
  <Characters>8501</Characters>
  <Application>Microsoft Office Word</Application>
  <DocSecurity>0</DocSecurity>
  <Lines>70</Lines>
  <Paragraphs>19</Paragraphs>
  <ScaleCrop>false</ScaleCrop>
  <Company/>
  <LinksUpToDate>false</LinksUpToDate>
  <CharactersWithSpaces>9973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Kemal ERDOGAN</dc:creator>
  <cp:lastModifiedBy>Ivelina  Stoyanova</cp:lastModifiedBy>
  <cp:revision>9</cp:revision>
  <dcterms:created xsi:type="dcterms:W3CDTF">2022-01-19T08:53:00Z</dcterms:created>
  <dcterms:modified xsi:type="dcterms:W3CDTF">2022-01-31T08:50:00Z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2021-11-23T00:00:00Z</vt:filetime>
  </property>
  <property fmtid="{D5CDD505-2E9C-101B-9397-08002B2CF9AE}" pid="3" name="Creator">
    <vt:lpwstr>Microsoft® Word 2016</vt:lpwstr>
  </property>
  <property fmtid="{D5CDD505-2E9C-101B-9397-08002B2CF9AE}" pid="4" name="LastSaved">
    <vt:filetime>2022-01-19T00:00:00Z</vt:filetime>
  </property>
  <property fmtid="{D5CDD505-2E9C-101B-9397-08002B2CF9AE}" pid="5" name="ContentTypeId">
    <vt:lpwstr>0x010100FE37CB227E4C7849B4B894363CED3B18</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_ExtendedDescription">
    <vt:lpwstr/>
  </property>
  <property fmtid="{D5CDD505-2E9C-101B-9397-08002B2CF9AE}" pid="10" name="TriggerFlowInfo">
    <vt:lpwstr/>
  </property>
</Properties>
</file>